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8F0444" w14:textId="4A243274" w:rsidR="00063B44" w:rsidRDefault="00063B44" w:rsidP="003C317D"/>
    <w:p w14:paraId="7F424B18" w14:textId="37D0FCE0" w:rsidR="00ED38EF" w:rsidRPr="009801BA" w:rsidRDefault="00ED38EF" w:rsidP="00ED38EF">
      <w:pPr>
        <w:pStyle w:val="ListeParagraf"/>
        <w:numPr>
          <w:ilvl w:val="0"/>
          <w:numId w:val="2"/>
        </w:numPr>
        <w:jc w:val="both"/>
        <w:rPr>
          <w:rFonts w:ascii="Times New Roman" w:hAnsi="Times New Roman" w:cs="Times New Roman"/>
          <w:b/>
          <w:bCs/>
          <w:sz w:val="24"/>
          <w:szCs w:val="24"/>
        </w:rPr>
      </w:pPr>
      <w:r w:rsidRPr="009801BA">
        <w:rPr>
          <w:rFonts w:ascii="Times New Roman" w:hAnsi="Times New Roman" w:cs="Times New Roman"/>
          <w:b/>
          <w:bCs/>
          <w:sz w:val="24"/>
          <w:szCs w:val="24"/>
        </w:rPr>
        <w:t>KH</w:t>
      </w:r>
      <w:r>
        <w:rPr>
          <w:rFonts w:ascii="Times New Roman" w:hAnsi="Times New Roman" w:cs="Times New Roman"/>
          <w:b/>
          <w:bCs/>
          <w:sz w:val="24"/>
          <w:szCs w:val="24"/>
        </w:rPr>
        <w:t xml:space="preserve">YL502 </w:t>
      </w:r>
      <w:r w:rsidRPr="009801BA">
        <w:rPr>
          <w:rFonts w:ascii="Times New Roman" w:hAnsi="Times New Roman" w:cs="Times New Roman"/>
          <w:b/>
          <w:bCs/>
          <w:sz w:val="24"/>
          <w:szCs w:val="24"/>
        </w:rPr>
        <w:t>SUÇ GENEL TEORİSİNDE HUKUKA AYKIRILIK</w:t>
      </w:r>
    </w:p>
    <w:p w14:paraId="2D47C9D6" w14:textId="77777777" w:rsidR="00ED38EF" w:rsidRDefault="00ED38EF" w:rsidP="00ED38EF">
      <w:pPr>
        <w:pStyle w:val="ListeParagraf"/>
        <w:jc w:val="both"/>
        <w:rPr>
          <w:rFonts w:ascii="Times New Roman" w:hAnsi="Times New Roman" w:cs="Times New Roman"/>
          <w:sz w:val="24"/>
          <w:szCs w:val="24"/>
        </w:rPr>
      </w:pPr>
      <w:r>
        <w:rPr>
          <w:rFonts w:ascii="Times New Roman" w:hAnsi="Times New Roman" w:cs="Times New Roman"/>
          <w:sz w:val="24"/>
          <w:szCs w:val="24"/>
        </w:rPr>
        <w:t xml:space="preserve">Hukuk </w:t>
      </w:r>
      <w:r w:rsidRPr="009801BA">
        <w:rPr>
          <w:rFonts w:ascii="Times New Roman" w:hAnsi="Times New Roman" w:cs="Times New Roman"/>
          <w:sz w:val="24"/>
          <w:szCs w:val="24"/>
        </w:rPr>
        <w:t xml:space="preserve">devletinde hukuksal yaptırımla karşılanan davranışların hukuk düzenince hukuka aykırılıkla nitelenmesi hukukun gereğidir. Hukuk düzeninde son çare olan Ceza Hukuku yaptırımıyla karşılanan davranışın da hukuka aykırı olması bunun gereğidir. Ancak her hukuka aykırı davranışın ceza yaptırımıyla karşılanamayacağı da özgürlükçü hukuk düzenlerinin zorunlu sonucudur. Bu bağlamda ‘’Suç Genel Teorisinde Hukuka Aykırılık’’ dersinde öncelikle Suç Genel Teorisinin ne olduğu, bir davranışın kuramsal soyut açıdan hangi unsurlarla ‘’suç’’ sayılabileceği; hukuka aykırılığın niteliği ve kapsamının Ceza Hukukunda ne olduğu; suç tiplerinde yer verilmesine gerek olup olmadığı; bir davranışın hukuk düzeninde hukuka aykırılığını engelleyen nedenlerin neler olduğu; hukuka uygunluk nedenleri diye adlandırılan bu nedenlerin sadece Ceza Hukukunda mı yer alabileceği; her bir hukuka uygunluk nedeninin koşullarının neler olduğu; somut olayda hukuka uygunluk nedenlerinin koşullarında düşülen yanılmanın ceza sorumluluğuna etkisi; hukuka uygunluk nedenlerinin varlığında Ceza Muhakemesi Hukukunda verilebilecek hükmün ne olabileceği; yanılma halinde verilebilecek hükmün ne olabileceği, hem kuramsal açıdan hem de içtihatlar üzerinden uygulamadaki örnekleriyle ele alınmaktadır.      </w:t>
      </w:r>
    </w:p>
    <w:p w14:paraId="20FC046B" w14:textId="77777777" w:rsidR="00ED38EF" w:rsidRDefault="00ED38EF" w:rsidP="008962C4">
      <w:pPr>
        <w:pStyle w:val="ListeParagraf"/>
        <w:jc w:val="both"/>
        <w:rPr>
          <w:rFonts w:ascii="Times New Roman" w:hAnsi="Times New Roman" w:cs="Times New Roman"/>
          <w:b/>
          <w:bCs/>
          <w:sz w:val="24"/>
          <w:szCs w:val="24"/>
        </w:rPr>
      </w:pPr>
    </w:p>
    <w:p w14:paraId="594317EC" w14:textId="3C3038B3" w:rsidR="00412492" w:rsidRPr="009801BA" w:rsidRDefault="00412492" w:rsidP="00412492">
      <w:pPr>
        <w:pStyle w:val="ListeParagraf"/>
        <w:numPr>
          <w:ilvl w:val="0"/>
          <w:numId w:val="2"/>
        </w:numPr>
        <w:jc w:val="both"/>
        <w:rPr>
          <w:rFonts w:ascii="Times New Roman" w:hAnsi="Times New Roman" w:cs="Times New Roman"/>
          <w:b/>
          <w:bCs/>
          <w:sz w:val="24"/>
          <w:szCs w:val="24"/>
        </w:rPr>
      </w:pPr>
      <w:r w:rsidRPr="009801BA">
        <w:rPr>
          <w:rFonts w:ascii="Times New Roman" w:hAnsi="Times New Roman" w:cs="Times New Roman"/>
          <w:b/>
          <w:bCs/>
          <w:sz w:val="24"/>
          <w:szCs w:val="24"/>
        </w:rPr>
        <w:t>KH</w:t>
      </w:r>
      <w:r>
        <w:rPr>
          <w:rFonts w:ascii="Times New Roman" w:hAnsi="Times New Roman" w:cs="Times New Roman"/>
          <w:b/>
          <w:bCs/>
          <w:sz w:val="24"/>
          <w:szCs w:val="24"/>
        </w:rPr>
        <w:t>YL503</w:t>
      </w:r>
      <w:r w:rsidRPr="009801BA">
        <w:rPr>
          <w:rFonts w:ascii="Times New Roman" w:hAnsi="Times New Roman" w:cs="Times New Roman"/>
          <w:b/>
          <w:bCs/>
          <w:sz w:val="24"/>
          <w:szCs w:val="24"/>
        </w:rPr>
        <w:t xml:space="preserve"> ULUSLARARASI CEZA HUKUKU</w:t>
      </w:r>
    </w:p>
    <w:p w14:paraId="79E88843" w14:textId="68252AF9" w:rsidR="008243B8" w:rsidRDefault="00412492" w:rsidP="005403A2">
      <w:pPr>
        <w:pStyle w:val="ListeParagraf"/>
        <w:jc w:val="both"/>
        <w:rPr>
          <w:rFonts w:ascii="Times New Roman" w:hAnsi="Times New Roman" w:cs="Times New Roman"/>
          <w:sz w:val="24"/>
          <w:szCs w:val="24"/>
        </w:rPr>
      </w:pPr>
      <w:r>
        <w:rPr>
          <w:rFonts w:ascii="Times New Roman" w:hAnsi="Times New Roman" w:cs="Times New Roman"/>
          <w:sz w:val="24"/>
          <w:szCs w:val="24"/>
        </w:rPr>
        <w:t>Bu derste</w:t>
      </w:r>
      <w:r w:rsidRPr="009801BA">
        <w:rPr>
          <w:rFonts w:ascii="Times New Roman" w:hAnsi="Times New Roman" w:cs="Times New Roman"/>
          <w:sz w:val="24"/>
          <w:szCs w:val="24"/>
        </w:rPr>
        <w:t xml:space="preserve"> uluslararası hukuk, ceza hukuku bağlamında tarihsel gelişimi ve kavrama ilişkin teorik tartışmalar çerçevesinde ele alınacaktır. Uluslararası ceza hukukunun kavramsal içeriği ve uluslararası ceza normlarının uygulanabilirliği temel tartışma nokta</w:t>
      </w:r>
      <w:r>
        <w:rPr>
          <w:rFonts w:ascii="Times New Roman" w:hAnsi="Times New Roman" w:cs="Times New Roman"/>
          <w:sz w:val="24"/>
          <w:szCs w:val="24"/>
        </w:rPr>
        <w:t>sını oluşturacaktır.</w:t>
      </w:r>
      <w:r w:rsidRPr="009801BA">
        <w:rPr>
          <w:rFonts w:ascii="Times New Roman" w:hAnsi="Times New Roman" w:cs="Times New Roman"/>
          <w:sz w:val="24"/>
          <w:szCs w:val="24"/>
        </w:rPr>
        <w:t xml:space="preserve"> Yine Nürnberg ve Tokyo Uluslararası Askeri Ceza Mahkemeleri, Eski Yugoslavya Uluslararası Ceza Mahkemesi, Ruanda Uluslararası Ceza Mahkemesi, Uluslararası Ceza Mahkemesi gibi mahkemeler somut içtihatları üzerinden ele alınacaktır. Tüm bu gelişmeler ve tartışmalar ışığında soykırım, insanlığa karşı suçlar, savaş suçları ve saldırı suçlarının unsurları ile açıklanacaktır</w:t>
      </w:r>
      <w:r w:rsidR="00371E1F">
        <w:rPr>
          <w:rFonts w:ascii="Times New Roman" w:hAnsi="Times New Roman" w:cs="Times New Roman"/>
          <w:sz w:val="24"/>
          <w:szCs w:val="24"/>
        </w:rPr>
        <w:t>.</w:t>
      </w:r>
    </w:p>
    <w:p w14:paraId="1CC689AA" w14:textId="77777777" w:rsidR="008962C4" w:rsidRDefault="008962C4" w:rsidP="005403A2">
      <w:pPr>
        <w:pStyle w:val="ListeParagraf"/>
        <w:jc w:val="both"/>
        <w:rPr>
          <w:rFonts w:ascii="Times New Roman" w:hAnsi="Times New Roman" w:cs="Times New Roman"/>
          <w:sz w:val="24"/>
          <w:szCs w:val="24"/>
        </w:rPr>
      </w:pPr>
    </w:p>
    <w:p w14:paraId="17A9683F" w14:textId="77777777" w:rsidR="008962C4" w:rsidRDefault="008962C4" w:rsidP="008962C4">
      <w:pPr>
        <w:pStyle w:val="ListeParagraf"/>
        <w:numPr>
          <w:ilvl w:val="0"/>
          <w:numId w:val="2"/>
        </w:numPr>
        <w:jc w:val="both"/>
        <w:rPr>
          <w:rFonts w:ascii="Times New Roman" w:hAnsi="Times New Roman" w:cs="Times New Roman"/>
          <w:b/>
          <w:bCs/>
          <w:sz w:val="24"/>
          <w:szCs w:val="24"/>
        </w:rPr>
      </w:pPr>
      <w:r w:rsidRPr="008962C4">
        <w:rPr>
          <w:rFonts w:ascii="Times New Roman" w:hAnsi="Times New Roman" w:cs="Times New Roman"/>
          <w:b/>
          <w:bCs/>
          <w:sz w:val="24"/>
          <w:szCs w:val="24"/>
        </w:rPr>
        <w:t>KHYL509 VERGİ ANLAŞMAZLIKLARI VE ÇÖZÜM YOLLARI</w:t>
      </w:r>
    </w:p>
    <w:p w14:paraId="753CFEEC" w14:textId="2253B674" w:rsidR="008962C4" w:rsidRDefault="008962C4" w:rsidP="008962C4">
      <w:pPr>
        <w:pStyle w:val="ListeParagraf"/>
        <w:jc w:val="both"/>
        <w:rPr>
          <w:rFonts w:ascii="Times New Roman" w:hAnsi="Times New Roman" w:cs="Times New Roman"/>
          <w:sz w:val="24"/>
          <w:szCs w:val="24"/>
        </w:rPr>
      </w:pPr>
      <w:r w:rsidRPr="008962C4">
        <w:rPr>
          <w:rFonts w:ascii="Times New Roman" w:hAnsi="Times New Roman" w:cs="Times New Roman"/>
          <w:sz w:val="24"/>
          <w:szCs w:val="24"/>
        </w:rPr>
        <w:t xml:space="preserve">Vergilendirme alanında ortaya çıkan anlaşmazlıklar, idari/Vergi Usul Kanunu ya da yargısal süreçlere dayalı/vergi yargısı kanunlarına </w:t>
      </w:r>
      <w:proofErr w:type="gramStart"/>
      <w:r w:rsidRPr="008962C4">
        <w:rPr>
          <w:rFonts w:ascii="Times New Roman" w:hAnsi="Times New Roman" w:cs="Times New Roman"/>
          <w:sz w:val="24"/>
          <w:szCs w:val="24"/>
        </w:rPr>
        <w:t>dayalı  olarak</w:t>
      </w:r>
      <w:proofErr w:type="gramEnd"/>
      <w:r w:rsidRPr="008962C4">
        <w:rPr>
          <w:rFonts w:ascii="Times New Roman" w:hAnsi="Times New Roman" w:cs="Times New Roman"/>
          <w:sz w:val="24"/>
          <w:szCs w:val="24"/>
        </w:rPr>
        <w:t xml:space="preserve"> çözümlenir. Günümüzde her iki çözüm yolunda da İnsan Hakları Avrupa Sözleşmesi ve İnsan Hakları Avrupa Mahkemesinin kararları ile oluşan hak temelli okumalar hukuksal çerçeveyi vergi yükümlüsünün hakları eksenine taşımıştır. Bir yandan Sözleşmenin Mülkiyetin Korunması Hakkında Ek Protokol 1 ve diğer yandan İnsan Hakları Avrupa Mahkemesinin ceza hukuku ilkelerini vergi hukukuna taşıması, Anayasa Mahkemesinin Bireysel Başvuru kararlarında paralellikler oluşturmuştur. Bu değişim ve dönüşüm Anayasa Mahkemesinin norm denetiminde de önemli farklılıklar oluştururken, Danıştay kararlarında da önemli etkileri olmaktadır. Bütün bunlar bu alanın izlenmesi ve vergi davalarına aktarılması gibi bir zorunluluğu vergi yargısına taşımıştır. Ders, bu alanda çalışan veya çalışmak isteyen hukukçulara hem teori hem de uygulamayı göstermeyi ve bu alanda çalışmalarını desteklemeyi amaçlamaktadır.</w:t>
      </w:r>
    </w:p>
    <w:p w14:paraId="7736C6D8" w14:textId="77777777" w:rsidR="008962C4" w:rsidRDefault="008962C4" w:rsidP="008962C4">
      <w:pPr>
        <w:pStyle w:val="ListeParagraf"/>
        <w:jc w:val="both"/>
        <w:rPr>
          <w:rFonts w:ascii="Times New Roman" w:hAnsi="Times New Roman" w:cs="Times New Roman"/>
          <w:sz w:val="24"/>
          <w:szCs w:val="24"/>
        </w:rPr>
      </w:pPr>
    </w:p>
    <w:p w14:paraId="78A8D815" w14:textId="77777777" w:rsidR="008962C4" w:rsidRDefault="008962C4" w:rsidP="008962C4">
      <w:pPr>
        <w:pStyle w:val="ListeParagraf"/>
        <w:jc w:val="both"/>
        <w:rPr>
          <w:rFonts w:ascii="Times New Roman" w:hAnsi="Times New Roman" w:cs="Times New Roman"/>
          <w:sz w:val="24"/>
          <w:szCs w:val="24"/>
        </w:rPr>
      </w:pPr>
    </w:p>
    <w:p w14:paraId="5DC351E4" w14:textId="77777777" w:rsidR="008962C4" w:rsidRPr="008962C4" w:rsidRDefault="008962C4" w:rsidP="008962C4">
      <w:pPr>
        <w:pStyle w:val="ListeParagraf"/>
        <w:jc w:val="both"/>
        <w:rPr>
          <w:rFonts w:ascii="Times New Roman" w:hAnsi="Times New Roman" w:cs="Times New Roman"/>
          <w:sz w:val="24"/>
          <w:szCs w:val="24"/>
        </w:rPr>
      </w:pPr>
    </w:p>
    <w:p w14:paraId="10E2EA87" w14:textId="428DFB71" w:rsidR="008243B8" w:rsidRPr="008243B8" w:rsidRDefault="008243B8" w:rsidP="008243B8">
      <w:pPr>
        <w:pStyle w:val="ListeParagraf"/>
        <w:numPr>
          <w:ilvl w:val="0"/>
          <w:numId w:val="2"/>
        </w:numPr>
        <w:jc w:val="both"/>
        <w:rPr>
          <w:rFonts w:ascii="Times New Roman" w:hAnsi="Times New Roman" w:cs="Times New Roman"/>
          <w:b/>
          <w:bCs/>
          <w:sz w:val="24"/>
          <w:szCs w:val="24"/>
        </w:rPr>
      </w:pPr>
      <w:r w:rsidRPr="008243B8">
        <w:rPr>
          <w:rFonts w:ascii="Times New Roman" w:hAnsi="Times New Roman" w:cs="Times New Roman"/>
          <w:b/>
          <w:bCs/>
          <w:sz w:val="24"/>
          <w:szCs w:val="24"/>
        </w:rPr>
        <w:lastRenderedPageBreak/>
        <w:t xml:space="preserve">KHYL517 YAPAY </w:t>
      </w:r>
      <w:proofErr w:type="gramStart"/>
      <w:r w:rsidRPr="008243B8">
        <w:rPr>
          <w:rFonts w:ascii="Times New Roman" w:hAnsi="Times New Roman" w:cs="Times New Roman"/>
          <w:b/>
          <w:bCs/>
          <w:sz w:val="24"/>
          <w:szCs w:val="24"/>
        </w:rPr>
        <w:t>ZEKA</w:t>
      </w:r>
      <w:proofErr w:type="gramEnd"/>
      <w:r w:rsidRPr="008243B8">
        <w:rPr>
          <w:rFonts w:ascii="Times New Roman" w:hAnsi="Times New Roman" w:cs="Times New Roman"/>
          <w:b/>
          <w:bCs/>
          <w:sz w:val="24"/>
          <w:szCs w:val="24"/>
        </w:rPr>
        <w:t xml:space="preserve"> (YZ) VE HUKUK</w:t>
      </w:r>
    </w:p>
    <w:p w14:paraId="37ADCC31" w14:textId="1CA65894" w:rsidR="008243B8" w:rsidRDefault="008243B8" w:rsidP="008243B8">
      <w:pPr>
        <w:pStyle w:val="ListeParagraf"/>
        <w:jc w:val="both"/>
        <w:rPr>
          <w:rFonts w:ascii="Times New Roman" w:hAnsi="Times New Roman" w:cs="Times New Roman"/>
          <w:sz w:val="24"/>
          <w:szCs w:val="24"/>
        </w:rPr>
      </w:pPr>
      <w:r>
        <w:rPr>
          <w:rFonts w:ascii="Times New Roman" w:hAnsi="Times New Roman" w:cs="Times New Roman"/>
          <w:sz w:val="24"/>
          <w:szCs w:val="24"/>
        </w:rPr>
        <w:t>D</w:t>
      </w:r>
      <w:r w:rsidRPr="008243B8">
        <w:rPr>
          <w:rFonts w:ascii="Times New Roman" w:hAnsi="Times New Roman" w:cs="Times New Roman"/>
          <w:sz w:val="24"/>
          <w:szCs w:val="24"/>
        </w:rPr>
        <w:t xml:space="preserve">ers içeriğinde yapay </w:t>
      </w:r>
      <w:proofErr w:type="gramStart"/>
      <w:r w:rsidRPr="008243B8">
        <w:rPr>
          <w:rFonts w:ascii="Times New Roman" w:hAnsi="Times New Roman" w:cs="Times New Roman"/>
          <w:sz w:val="24"/>
          <w:szCs w:val="24"/>
        </w:rPr>
        <w:t>zeka</w:t>
      </w:r>
      <w:proofErr w:type="gramEnd"/>
      <w:r w:rsidRPr="008243B8">
        <w:rPr>
          <w:rFonts w:ascii="Times New Roman" w:hAnsi="Times New Roman" w:cs="Times New Roman"/>
          <w:sz w:val="24"/>
          <w:szCs w:val="24"/>
        </w:rPr>
        <w:t xml:space="preserve"> teknolojisinin çalışma mantığı, öne çıkan uygulamaları ve bu teknolojik gelişme sonrası ortaya çıkan hukuki konular ile Türkiye ve Dünya’da bu alanda öne çıkan hukuki düzenlemeler ele alınacaktır.</w:t>
      </w:r>
    </w:p>
    <w:p w14:paraId="06E6A830" w14:textId="77777777" w:rsidR="009C5599" w:rsidRDefault="009C5599" w:rsidP="008243B8">
      <w:pPr>
        <w:pStyle w:val="ListeParagraf"/>
        <w:jc w:val="both"/>
        <w:rPr>
          <w:rFonts w:ascii="Times New Roman" w:hAnsi="Times New Roman" w:cs="Times New Roman"/>
          <w:sz w:val="24"/>
          <w:szCs w:val="24"/>
        </w:rPr>
      </w:pPr>
    </w:p>
    <w:p w14:paraId="55FF4D5C" w14:textId="1432826B" w:rsidR="009C5599" w:rsidRPr="009C5599" w:rsidRDefault="009C5599" w:rsidP="009C5599">
      <w:pPr>
        <w:pStyle w:val="ListeParagraf"/>
        <w:numPr>
          <w:ilvl w:val="0"/>
          <w:numId w:val="2"/>
        </w:numPr>
        <w:jc w:val="both"/>
        <w:rPr>
          <w:rFonts w:ascii="Times New Roman" w:hAnsi="Times New Roman" w:cs="Times New Roman"/>
          <w:b/>
          <w:bCs/>
          <w:sz w:val="24"/>
          <w:szCs w:val="24"/>
        </w:rPr>
      </w:pPr>
      <w:r w:rsidRPr="009C5599">
        <w:rPr>
          <w:rFonts w:ascii="Times New Roman" w:hAnsi="Times New Roman" w:cs="Times New Roman"/>
          <w:b/>
          <w:bCs/>
          <w:sz w:val="24"/>
          <w:szCs w:val="24"/>
        </w:rPr>
        <w:t>KHYL518 KUVVETLER AYRILIĞI İLKESİ</w:t>
      </w:r>
    </w:p>
    <w:p w14:paraId="5DE0714F" w14:textId="5CF77338" w:rsidR="009C5599" w:rsidRDefault="009C5599" w:rsidP="009C5599">
      <w:pPr>
        <w:pStyle w:val="ListeParagraf"/>
        <w:jc w:val="both"/>
        <w:rPr>
          <w:rFonts w:ascii="Times New Roman" w:hAnsi="Times New Roman" w:cs="Times New Roman"/>
          <w:sz w:val="24"/>
          <w:szCs w:val="24"/>
        </w:rPr>
      </w:pPr>
      <w:r w:rsidRPr="009C5599">
        <w:rPr>
          <w:rFonts w:ascii="Times New Roman" w:hAnsi="Times New Roman" w:cs="Times New Roman"/>
          <w:sz w:val="24"/>
          <w:szCs w:val="24"/>
        </w:rPr>
        <w:t xml:space="preserve">Kuvvetler ayrılığı teorisini ortaya atan düşünürlerin fikirleri ve bu fikirlere yönelik </w:t>
      </w:r>
      <w:proofErr w:type="gramStart"/>
      <w:r w:rsidRPr="009C5599">
        <w:rPr>
          <w:rFonts w:ascii="Times New Roman" w:hAnsi="Times New Roman" w:cs="Times New Roman"/>
          <w:sz w:val="24"/>
          <w:szCs w:val="24"/>
        </w:rPr>
        <w:t>doktrinde</w:t>
      </w:r>
      <w:proofErr w:type="gramEnd"/>
      <w:r w:rsidRPr="009C5599">
        <w:rPr>
          <w:rFonts w:ascii="Times New Roman" w:hAnsi="Times New Roman" w:cs="Times New Roman"/>
          <w:sz w:val="24"/>
          <w:szCs w:val="24"/>
        </w:rPr>
        <w:t xml:space="preserve"> yer alan görüşler dersin içeriğini oluşturur. Modern devletin en önemli dayanaklarından olan kuvvetler ayrılığı ilkesinin tarihsel gelişim içerisinde çeşitli devletlerde ne şekilde uygulandığı ve bu pratiklerin günümüz devlet işleyişine yansıması ders kapsamında ele alınır. Pozitif hukukta yasama, yürütme ve yargı organlarının oluşumunun, işleyişinin ve aralarındaki yetki-görev dağılımının düzenlenme şekli, kuvvetler ayrılığı ilkesinin teorik boyutu bakımından değerlendirilir.</w:t>
      </w:r>
    </w:p>
    <w:p w14:paraId="027854BC" w14:textId="77777777" w:rsidR="00E71890" w:rsidRDefault="00E71890" w:rsidP="003C317D">
      <w:pPr>
        <w:pStyle w:val="ListeParagraf"/>
        <w:jc w:val="both"/>
        <w:rPr>
          <w:rFonts w:ascii="Times New Roman" w:hAnsi="Times New Roman" w:cs="Times New Roman"/>
          <w:sz w:val="24"/>
          <w:szCs w:val="24"/>
        </w:rPr>
      </w:pPr>
    </w:p>
    <w:p w14:paraId="047E456F" w14:textId="3DA35F61" w:rsidR="00E71890" w:rsidRDefault="00E71890" w:rsidP="00E71890">
      <w:pPr>
        <w:pStyle w:val="ListeParagraf"/>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KHYL519 ÇALIŞMA CEZA HUKUKU</w:t>
      </w:r>
    </w:p>
    <w:p w14:paraId="57CBE9C4" w14:textId="7550852F" w:rsidR="00E71890" w:rsidRDefault="00E71890" w:rsidP="003C317D">
      <w:pPr>
        <w:pStyle w:val="ListeParagraf"/>
        <w:jc w:val="both"/>
        <w:rPr>
          <w:rFonts w:ascii="Times New Roman" w:hAnsi="Times New Roman" w:cs="Times New Roman"/>
          <w:sz w:val="24"/>
          <w:szCs w:val="24"/>
        </w:rPr>
      </w:pPr>
      <w:r>
        <w:rPr>
          <w:rFonts w:ascii="Times New Roman" w:hAnsi="Times New Roman" w:cs="Times New Roman"/>
          <w:sz w:val="24"/>
          <w:szCs w:val="24"/>
        </w:rPr>
        <w:t>Ç</w:t>
      </w:r>
      <w:r w:rsidRPr="00E71890">
        <w:rPr>
          <w:rFonts w:ascii="Times New Roman" w:hAnsi="Times New Roman" w:cs="Times New Roman"/>
          <w:sz w:val="24"/>
          <w:szCs w:val="24"/>
        </w:rPr>
        <w:t>alışma ceza hukuku, sosyal ceza hukuku ve ekonomik ceza hukuku gibi kavramlarla anılan ve kapsamı tartışmalı bir alandır. Dersimizde kavramın tarihsel gelişimi çerçevesinde alanın kapsamı ortaya konulmaya çalışılacaktır. Bu bağlamda 5237 sayılı TCK’daki hangi suç tiplerinin bu alan kapsamında olduğu tartışılacak ve çalışma yaşamına ilişkin suç tipleri teorik tartışmalar ve pratik uygulaması ışığında ele alınacaktır.</w:t>
      </w:r>
    </w:p>
    <w:p w14:paraId="2D1CA6EA" w14:textId="77777777" w:rsidR="005403A2" w:rsidRDefault="005403A2" w:rsidP="003C317D">
      <w:pPr>
        <w:pStyle w:val="ListeParagraf"/>
        <w:jc w:val="both"/>
        <w:rPr>
          <w:rFonts w:ascii="Times New Roman" w:hAnsi="Times New Roman" w:cs="Times New Roman"/>
          <w:sz w:val="24"/>
          <w:szCs w:val="24"/>
        </w:rPr>
      </w:pPr>
    </w:p>
    <w:p w14:paraId="5FD6B97D" w14:textId="77777777" w:rsidR="005403A2" w:rsidRDefault="005403A2" w:rsidP="005403A2">
      <w:pPr>
        <w:pStyle w:val="ListeParagraf"/>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KHYL520 CEZA MUHAKEMESİNDE İSPAT</w:t>
      </w:r>
    </w:p>
    <w:p w14:paraId="07BFB02F" w14:textId="0B9A2032" w:rsidR="005403A2" w:rsidRPr="005403A2" w:rsidRDefault="005403A2" w:rsidP="005403A2">
      <w:pPr>
        <w:pStyle w:val="ListeParagraf"/>
        <w:jc w:val="both"/>
        <w:rPr>
          <w:rFonts w:ascii="Times New Roman" w:hAnsi="Times New Roman" w:cs="Times New Roman"/>
          <w:sz w:val="24"/>
          <w:szCs w:val="24"/>
        </w:rPr>
      </w:pPr>
      <w:r w:rsidRPr="00E71890">
        <w:rPr>
          <w:rFonts w:ascii="Times New Roman" w:hAnsi="Times New Roman" w:cs="Times New Roman"/>
          <w:sz w:val="24"/>
          <w:szCs w:val="24"/>
        </w:rPr>
        <w:t>Maddi hakikatin arandığı ceza muhakemesinde fiil ve failin ispatı maddi sorunu oluşturur ve bir hukuk devletinde bu ispatın nasıl olabileceğini Ceza Muhakemesi Hukukunun ispat kuralları belirler</w:t>
      </w:r>
      <w:r>
        <w:rPr>
          <w:rFonts w:ascii="Times New Roman" w:hAnsi="Times New Roman" w:cs="Times New Roman"/>
          <w:sz w:val="24"/>
          <w:szCs w:val="24"/>
        </w:rPr>
        <w:t>.</w:t>
      </w:r>
    </w:p>
    <w:p w14:paraId="1550C09A" w14:textId="77777777" w:rsidR="005403A2" w:rsidRDefault="005403A2" w:rsidP="003C317D">
      <w:pPr>
        <w:pStyle w:val="ListeParagraf"/>
        <w:jc w:val="both"/>
        <w:rPr>
          <w:rFonts w:ascii="Times New Roman" w:hAnsi="Times New Roman" w:cs="Times New Roman"/>
          <w:sz w:val="24"/>
          <w:szCs w:val="24"/>
        </w:rPr>
      </w:pPr>
    </w:p>
    <w:p w14:paraId="46C4C486" w14:textId="77777777" w:rsidR="005403A2" w:rsidRDefault="005403A2" w:rsidP="005403A2">
      <w:pPr>
        <w:pStyle w:val="ListeParagraf"/>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KHYL521 CEZA HUKUKU BOYUTUYLA İŞ KAZALARI</w:t>
      </w:r>
    </w:p>
    <w:p w14:paraId="6350EEEF" w14:textId="6F17DB79" w:rsidR="005403A2" w:rsidRPr="005403A2" w:rsidRDefault="005403A2" w:rsidP="005403A2">
      <w:pPr>
        <w:pStyle w:val="ListeParagraf"/>
        <w:jc w:val="both"/>
        <w:rPr>
          <w:rFonts w:ascii="Times New Roman" w:hAnsi="Times New Roman" w:cs="Times New Roman"/>
          <w:sz w:val="24"/>
          <w:szCs w:val="24"/>
        </w:rPr>
      </w:pPr>
      <w:r w:rsidRPr="00E71890">
        <w:rPr>
          <w:rFonts w:ascii="Times New Roman" w:hAnsi="Times New Roman" w:cs="Times New Roman"/>
          <w:sz w:val="24"/>
          <w:szCs w:val="24"/>
        </w:rPr>
        <w:t>Çalışma yaşamında iş kazalarının ceza hukuku boyutuyla ele alınıp, ceza hukuku sorumluluğunun ne olduğunun tartışıldığı bir derstir.</w:t>
      </w:r>
    </w:p>
    <w:p w14:paraId="06A36E22" w14:textId="77777777" w:rsidR="005403A2" w:rsidRDefault="005403A2" w:rsidP="003C317D">
      <w:pPr>
        <w:pStyle w:val="ListeParagraf"/>
        <w:jc w:val="both"/>
        <w:rPr>
          <w:rFonts w:ascii="Times New Roman" w:hAnsi="Times New Roman" w:cs="Times New Roman"/>
          <w:sz w:val="24"/>
          <w:szCs w:val="24"/>
        </w:rPr>
      </w:pPr>
    </w:p>
    <w:p w14:paraId="6B425E93" w14:textId="6D9B834E" w:rsidR="00412492" w:rsidRPr="009801BA" w:rsidRDefault="00412492" w:rsidP="00412492">
      <w:pPr>
        <w:pStyle w:val="ListeParagraf"/>
        <w:numPr>
          <w:ilvl w:val="0"/>
          <w:numId w:val="2"/>
        </w:numPr>
        <w:jc w:val="both"/>
        <w:rPr>
          <w:rFonts w:ascii="Times New Roman" w:hAnsi="Times New Roman" w:cs="Times New Roman"/>
          <w:b/>
          <w:bCs/>
          <w:sz w:val="24"/>
          <w:szCs w:val="24"/>
        </w:rPr>
      </w:pPr>
      <w:r w:rsidRPr="009801BA">
        <w:rPr>
          <w:rFonts w:ascii="Times New Roman" w:hAnsi="Times New Roman" w:cs="Times New Roman"/>
          <w:b/>
          <w:bCs/>
          <w:sz w:val="24"/>
          <w:szCs w:val="24"/>
        </w:rPr>
        <w:t>KH</w:t>
      </w:r>
      <w:r>
        <w:rPr>
          <w:rFonts w:ascii="Times New Roman" w:hAnsi="Times New Roman" w:cs="Times New Roman"/>
          <w:b/>
          <w:bCs/>
          <w:sz w:val="24"/>
          <w:szCs w:val="24"/>
        </w:rPr>
        <w:t>YL522</w:t>
      </w:r>
      <w:r w:rsidRPr="009801BA">
        <w:rPr>
          <w:rFonts w:ascii="Times New Roman" w:hAnsi="Times New Roman" w:cs="Times New Roman"/>
          <w:b/>
          <w:bCs/>
          <w:sz w:val="24"/>
          <w:szCs w:val="24"/>
        </w:rPr>
        <w:t xml:space="preserve"> ULUSLARARASI ÇEVRE HUKUKUNDA GÜNCEL MESELELER</w:t>
      </w:r>
    </w:p>
    <w:p w14:paraId="6C330F2E" w14:textId="77777777" w:rsidR="00412492" w:rsidRDefault="00412492" w:rsidP="00412492">
      <w:pPr>
        <w:pStyle w:val="ListeParagraf"/>
        <w:jc w:val="both"/>
        <w:rPr>
          <w:rFonts w:ascii="Times New Roman" w:hAnsi="Times New Roman" w:cs="Times New Roman"/>
          <w:sz w:val="24"/>
          <w:szCs w:val="24"/>
        </w:rPr>
      </w:pPr>
      <w:r>
        <w:rPr>
          <w:rFonts w:ascii="Times New Roman" w:hAnsi="Times New Roman" w:cs="Times New Roman"/>
          <w:sz w:val="24"/>
          <w:szCs w:val="24"/>
        </w:rPr>
        <w:t xml:space="preserve">Çevre </w:t>
      </w:r>
      <w:r w:rsidRPr="009801BA">
        <w:rPr>
          <w:rFonts w:ascii="Times New Roman" w:hAnsi="Times New Roman" w:cs="Times New Roman"/>
          <w:sz w:val="24"/>
          <w:szCs w:val="24"/>
        </w:rPr>
        <w:t xml:space="preserve">sorunları ve iklim değişikliği, gün geçtikçe uluslararası alandaki yargılamaların daha önemli bir bölümünü teşkil eder hale gelmektedir. Uluslararası hukuk ve insan hakları hukukunda da bu giderek genişleyen hukuk alanına yönelik çok sayıda farklı hukuki araç ve mekanizma geliştirilmektedir. Çevre ve iklim alanındaki farklı milletlerarası anlaşmaların ve uluslararası ve bölgesel organların içtihatlarının inceleneceği bu ders; uluslararası hukuk ve insan hakları hukuku mekanizmaları ile bu disiplinlerce sunulan hukuki araçların, çevrenin korunması ve iklim değişikliğiyle mücadelede kullanılmasına odaklanacaktır. Derste ayrıca; bir başvuru veya dava sürecinin, başvurucunun acil taleplerinin ötesinde hukuki bir gelişme de elde etmek üzere kullanılması ve çevresel bağlamda stratejik </w:t>
      </w:r>
      <w:proofErr w:type="spellStart"/>
      <w:r w:rsidRPr="009801BA">
        <w:rPr>
          <w:rFonts w:ascii="Times New Roman" w:hAnsi="Times New Roman" w:cs="Times New Roman"/>
          <w:sz w:val="24"/>
          <w:szCs w:val="24"/>
        </w:rPr>
        <w:t>davalama</w:t>
      </w:r>
      <w:proofErr w:type="spellEnd"/>
      <w:r w:rsidRPr="009801BA">
        <w:rPr>
          <w:rFonts w:ascii="Times New Roman" w:hAnsi="Times New Roman" w:cs="Times New Roman"/>
          <w:sz w:val="24"/>
          <w:szCs w:val="24"/>
        </w:rPr>
        <w:t xml:space="preserve"> kavramı da inceleme konusu yapılacaktır. Ders kapsamında bu alandaki önemli vakaların sunumu ve aktif biçimde tartışılmasıyla, uluslararası hukukta çevre davalarında karşılaşılan güncel sorunların ve bu sorunlara yanıt vermek üzere uluslararası hukukça geliştirilebilecek çözümler ve alternatif yollar analiz edilecektir.</w:t>
      </w:r>
    </w:p>
    <w:p w14:paraId="1C43ACA1" w14:textId="77777777" w:rsidR="00412492" w:rsidRDefault="00412492" w:rsidP="003C317D">
      <w:pPr>
        <w:pStyle w:val="ListeParagraf"/>
        <w:jc w:val="both"/>
        <w:rPr>
          <w:rFonts w:ascii="Times New Roman" w:hAnsi="Times New Roman" w:cs="Times New Roman"/>
          <w:sz w:val="24"/>
          <w:szCs w:val="24"/>
        </w:rPr>
      </w:pPr>
    </w:p>
    <w:p w14:paraId="61948A10" w14:textId="2557618B" w:rsidR="00520F27" w:rsidRPr="00520F27" w:rsidRDefault="00520F27" w:rsidP="00520F27">
      <w:pPr>
        <w:pStyle w:val="ListeParagraf"/>
        <w:numPr>
          <w:ilvl w:val="0"/>
          <w:numId w:val="2"/>
        </w:numPr>
        <w:jc w:val="both"/>
        <w:rPr>
          <w:rFonts w:ascii="Times New Roman" w:hAnsi="Times New Roman" w:cs="Times New Roman"/>
          <w:b/>
          <w:bCs/>
          <w:sz w:val="24"/>
          <w:szCs w:val="24"/>
        </w:rPr>
      </w:pPr>
      <w:r w:rsidRPr="00520F27">
        <w:rPr>
          <w:rFonts w:ascii="Times New Roman" w:hAnsi="Times New Roman" w:cs="Times New Roman"/>
          <w:b/>
          <w:bCs/>
          <w:sz w:val="24"/>
          <w:szCs w:val="24"/>
        </w:rPr>
        <w:lastRenderedPageBreak/>
        <w:t>KHYL524 KENT HAKKI</w:t>
      </w:r>
    </w:p>
    <w:p w14:paraId="2834417F" w14:textId="11426A51" w:rsidR="00520F27" w:rsidRDefault="00520F27" w:rsidP="00520F27">
      <w:pPr>
        <w:pStyle w:val="ListeParagraf"/>
        <w:jc w:val="both"/>
        <w:rPr>
          <w:rFonts w:ascii="Times New Roman" w:hAnsi="Times New Roman" w:cs="Times New Roman"/>
          <w:sz w:val="24"/>
          <w:szCs w:val="24"/>
        </w:rPr>
      </w:pPr>
      <w:r w:rsidRPr="00520F27">
        <w:rPr>
          <w:rFonts w:ascii="Times New Roman" w:hAnsi="Times New Roman" w:cs="Times New Roman"/>
          <w:sz w:val="24"/>
          <w:szCs w:val="24"/>
        </w:rPr>
        <w:t>İnsanın, insan onuruna yakışan bir yaşam sürmesi amacına dayalı olarak geçmişten günümüze verdiği mücadele değişen ekonomik, sosyal ve toplumsal koşullar karşısında devam etmektedir. Bu nedenle yeni insan hakları sorunları, yeni hak taleplerini doğurmaktadır. Bunlardan biri de kent hakkıdır. Özellikle sanayileşme ve gelişen kapitalizmin etkisi sonucunda insanlar büyük kentlere yerleşerek hayatlarını devam ettirmeye yönelmiştir. Bu yoğun yönelme birçok alanda ama kent çerçevesinde farklı insan hakları sorunlarını ortaya çıkarmıştır. Katılım, imar, çevre, ulaşım, kültür, yerleşim ve barınma gibi temelinde insanın, insan onuruna yaraşır şekilde yaşamasını sağlayacak koşulların geliştirilmesinden doğan bu talepler, insan hakları alanında görece yeni bir hakkı, kent hakkını ortaya çıkarmıştır. Bu dersin amacı, kent hakkının tanımlanması ve nitelendirilmesini yapmak, uluslararası ve ulusal alanda nasıl ve hangi mekanizmalarla korunduğu ve hangi haklarla çatıştığı gibi soruları tartışmaktır. Bu çerçevede, bugün nüfusun büyük çoğunluğunun yaşadığı kentlerde insanların güncel ve çok boyutlu hak taleplerine hukuki korunmanın nasıl sağlanabileceği sorusunu yanıtlamaktır</w:t>
      </w:r>
      <w:r>
        <w:rPr>
          <w:rFonts w:ascii="Times New Roman" w:hAnsi="Times New Roman" w:cs="Times New Roman"/>
          <w:sz w:val="24"/>
          <w:szCs w:val="24"/>
        </w:rPr>
        <w:t>.</w:t>
      </w:r>
    </w:p>
    <w:p w14:paraId="2E18029B" w14:textId="77777777" w:rsidR="00412492" w:rsidRDefault="00412492" w:rsidP="00520F27">
      <w:pPr>
        <w:pStyle w:val="ListeParagraf"/>
        <w:jc w:val="both"/>
        <w:rPr>
          <w:rFonts w:ascii="Times New Roman" w:hAnsi="Times New Roman" w:cs="Times New Roman"/>
          <w:sz w:val="24"/>
          <w:szCs w:val="24"/>
        </w:rPr>
      </w:pPr>
    </w:p>
    <w:p w14:paraId="70E7180B" w14:textId="7EA19388" w:rsidR="00B93103" w:rsidRDefault="00B93103" w:rsidP="00B93103">
      <w:pPr>
        <w:pStyle w:val="ListeParagraf"/>
        <w:numPr>
          <w:ilvl w:val="0"/>
          <w:numId w:val="2"/>
        </w:numPr>
        <w:jc w:val="both"/>
        <w:rPr>
          <w:rFonts w:ascii="Times New Roman" w:hAnsi="Times New Roman" w:cs="Times New Roman"/>
          <w:b/>
          <w:bCs/>
          <w:sz w:val="24"/>
          <w:szCs w:val="24"/>
        </w:rPr>
      </w:pPr>
      <w:r>
        <w:rPr>
          <w:rFonts w:ascii="Times New Roman" w:hAnsi="Times New Roman" w:cs="Times New Roman"/>
          <w:b/>
          <w:bCs/>
          <w:sz w:val="24"/>
          <w:szCs w:val="24"/>
        </w:rPr>
        <w:t>KHYL525 HUKUK ÇALIŞMALARI VE YÖNTEMLERİ</w:t>
      </w:r>
    </w:p>
    <w:p w14:paraId="78147797" w14:textId="05DAAFCF" w:rsidR="00B93103" w:rsidRPr="003C317D" w:rsidRDefault="00B93103" w:rsidP="003C317D">
      <w:pPr>
        <w:pStyle w:val="ListeParagraf"/>
        <w:jc w:val="both"/>
        <w:rPr>
          <w:rFonts w:ascii="Times New Roman" w:hAnsi="Times New Roman" w:cs="Times New Roman"/>
          <w:sz w:val="24"/>
          <w:szCs w:val="24"/>
        </w:rPr>
      </w:pPr>
      <w:r w:rsidRPr="00B93103">
        <w:rPr>
          <w:rFonts w:ascii="Times New Roman" w:hAnsi="Times New Roman" w:cs="Times New Roman"/>
          <w:sz w:val="24"/>
          <w:szCs w:val="24"/>
        </w:rPr>
        <w:t xml:space="preserve">Hukuk her ne kadar </w:t>
      </w:r>
      <w:proofErr w:type="spellStart"/>
      <w:r w:rsidRPr="00B93103">
        <w:rPr>
          <w:rFonts w:ascii="Times New Roman" w:hAnsi="Times New Roman" w:cs="Times New Roman"/>
          <w:sz w:val="24"/>
          <w:szCs w:val="24"/>
        </w:rPr>
        <w:t>çoğu</w:t>
      </w:r>
      <w:proofErr w:type="spellEnd"/>
      <w:r w:rsidRPr="00B93103">
        <w:rPr>
          <w:rFonts w:ascii="Times New Roman" w:hAnsi="Times New Roman" w:cs="Times New Roman"/>
          <w:sz w:val="24"/>
          <w:szCs w:val="24"/>
        </w:rPr>
        <w:t xml:space="preserve"> zaman toplumsal </w:t>
      </w:r>
      <w:proofErr w:type="spellStart"/>
      <w:r w:rsidRPr="00B93103">
        <w:rPr>
          <w:rFonts w:ascii="Times New Roman" w:hAnsi="Times New Roman" w:cs="Times New Roman"/>
          <w:sz w:val="24"/>
          <w:szCs w:val="24"/>
        </w:rPr>
        <w:t>gerçeklikten</w:t>
      </w:r>
      <w:proofErr w:type="spellEnd"/>
      <w:r w:rsidRPr="00B93103">
        <w:rPr>
          <w:rFonts w:ascii="Times New Roman" w:hAnsi="Times New Roman" w:cs="Times New Roman"/>
          <w:sz w:val="24"/>
          <w:szCs w:val="24"/>
        </w:rPr>
        <w:t xml:space="preserve"> ayrı ve normatif bir yapı olarak </w:t>
      </w:r>
      <w:proofErr w:type="spellStart"/>
      <w:r w:rsidRPr="00B93103">
        <w:rPr>
          <w:rFonts w:ascii="Times New Roman" w:hAnsi="Times New Roman" w:cs="Times New Roman"/>
          <w:sz w:val="24"/>
          <w:szCs w:val="24"/>
        </w:rPr>
        <w:t>görülse</w:t>
      </w:r>
      <w:proofErr w:type="spellEnd"/>
      <w:r w:rsidRPr="00B93103">
        <w:rPr>
          <w:rFonts w:ascii="Times New Roman" w:hAnsi="Times New Roman" w:cs="Times New Roman"/>
          <w:sz w:val="24"/>
          <w:szCs w:val="24"/>
        </w:rPr>
        <w:t xml:space="preserve"> </w:t>
      </w:r>
      <w:proofErr w:type="gramStart"/>
      <w:r w:rsidRPr="00B93103">
        <w:rPr>
          <w:rFonts w:ascii="Times New Roman" w:hAnsi="Times New Roman" w:cs="Times New Roman"/>
          <w:sz w:val="24"/>
          <w:szCs w:val="24"/>
        </w:rPr>
        <w:t>de;</w:t>
      </w:r>
      <w:proofErr w:type="gram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özünde</w:t>
      </w:r>
      <w:proofErr w:type="spellEnd"/>
      <w:r w:rsidRPr="00B93103">
        <w:rPr>
          <w:rFonts w:ascii="Times New Roman" w:hAnsi="Times New Roman" w:cs="Times New Roman"/>
          <w:sz w:val="24"/>
          <w:szCs w:val="24"/>
        </w:rPr>
        <w:t xml:space="preserve"> insan </w:t>
      </w:r>
      <w:proofErr w:type="spellStart"/>
      <w:r w:rsidRPr="00B93103">
        <w:rPr>
          <w:rFonts w:ascii="Times New Roman" w:hAnsi="Times New Roman" w:cs="Times New Roman"/>
          <w:sz w:val="24"/>
          <w:szCs w:val="24"/>
        </w:rPr>
        <w:t>davranışlarını</w:t>
      </w:r>
      <w:proofErr w:type="spellEnd"/>
      <w:r w:rsidRPr="00B93103">
        <w:rPr>
          <w:rFonts w:ascii="Times New Roman" w:hAnsi="Times New Roman" w:cs="Times New Roman"/>
          <w:sz w:val="24"/>
          <w:szCs w:val="24"/>
        </w:rPr>
        <w:t xml:space="preserve"> ve toplumsal </w:t>
      </w:r>
      <w:proofErr w:type="spellStart"/>
      <w:r w:rsidRPr="00B93103">
        <w:rPr>
          <w:rFonts w:ascii="Times New Roman" w:hAnsi="Times New Roman" w:cs="Times New Roman"/>
          <w:sz w:val="24"/>
          <w:szCs w:val="24"/>
        </w:rPr>
        <w:t>gerçekliği</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biçimlendirmekte</w:t>
      </w:r>
      <w:proofErr w:type="spellEnd"/>
      <w:r w:rsidRPr="00B93103">
        <w:rPr>
          <w:rFonts w:ascii="Times New Roman" w:hAnsi="Times New Roman" w:cs="Times New Roman"/>
          <w:sz w:val="24"/>
          <w:szCs w:val="24"/>
        </w:rPr>
        <w:t xml:space="preserve"> ve toplumla birlikte </w:t>
      </w:r>
      <w:proofErr w:type="spellStart"/>
      <w:r w:rsidRPr="00B93103">
        <w:rPr>
          <w:rFonts w:ascii="Times New Roman" w:hAnsi="Times New Roman" w:cs="Times New Roman"/>
          <w:sz w:val="24"/>
          <w:szCs w:val="24"/>
        </w:rPr>
        <w:t>doğup</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gelişen</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gözlemlenebilir</w:t>
      </w:r>
      <w:proofErr w:type="spellEnd"/>
      <w:r w:rsidRPr="00B93103">
        <w:rPr>
          <w:rFonts w:ascii="Times New Roman" w:hAnsi="Times New Roman" w:cs="Times New Roman"/>
          <w:sz w:val="24"/>
          <w:szCs w:val="24"/>
        </w:rPr>
        <w:t xml:space="preserve"> bir toplumsal olgu olma </w:t>
      </w:r>
      <w:proofErr w:type="spellStart"/>
      <w:r w:rsidRPr="00B93103">
        <w:rPr>
          <w:rFonts w:ascii="Times New Roman" w:hAnsi="Times New Roman" w:cs="Times New Roman"/>
          <w:sz w:val="24"/>
          <w:szCs w:val="24"/>
        </w:rPr>
        <w:t>özelliği</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taşımaktadır</w:t>
      </w:r>
      <w:proofErr w:type="spellEnd"/>
      <w:r w:rsidRPr="00B93103">
        <w:rPr>
          <w:rFonts w:ascii="Times New Roman" w:hAnsi="Times New Roman" w:cs="Times New Roman"/>
          <w:sz w:val="24"/>
          <w:szCs w:val="24"/>
        </w:rPr>
        <w:t xml:space="preserve">. Aslında hukuki incelemeye dair kafa </w:t>
      </w:r>
      <w:proofErr w:type="spellStart"/>
      <w:r w:rsidRPr="00B93103">
        <w:rPr>
          <w:rFonts w:ascii="Times New Roman" w:hAnsi="Times New Roman" w:cs="Times New Roman"/>
          <w:sz w:val="24"/>
          <w:szCs w:val="24"/>
        </w:rPr>
        <w:t>karışıklıkları</w:t>
      </w:r>
      <w:proofErr w:type="spellEnd"/>
      <w:r w:rsidRPr="00B93103">
        <w:rPr>
          <w:rFonts w:ascii="Times New Roman" w:hAnsi="Times New Roman" w:cs="Times New Roman"/>
          <w:sz w:val="24"/>
          <w:szCs w:val="24"/>
        </w:rPr>
        <w:t xml:space="preserve"> hukukun </w:t>
      </w:r>
      <w:proofErr w:type="spellStart"/>
      <w:r w:rsidRPr="00B93103">
        <w:rPr>
          <w:rFonts w:ascii="Times New Roman" w:hAnsi="Times New Roman" w:cs="Times New Roman"/>
          <w:sz w:val="24"/>
          <w:szCs w:val="24"/>
        </w:rPr>
        <w:t>çok</w:t>
      </w:r>
      <w:proofErr w:type="spellEnd"/>
      <w:r w:rsidRPr="00B93103">
        <w:rPr>
          <w:rFonts w:ascii="Times New Roman" w:hAnsi="Times New Roman" w:cs="Times New Roman"/>
          <w:sz w:val="24"/>
          <w:szCs w:val="24"/>
        </w:rPr>
        <w:t xml:space="preserve"> boyutlu karakterinden kaynaklanmaktadır. Hukuk ilk </w:t>
      </w:r>
      <w:proofErr w:type="spellStart"/>
      <w:r w:rsidRPr="00B93103">
        <w:rPr>
          <w:rFonts w:ascii="Times New Roman" w:hAnsi="Times New Roman" w:cs="Times New Roman"/>
          <w:sz w:val="24"/>
          <w:szCs w:val="24"/>
        </w:rPr>
        <w:t>bakışta</w:t>
      </w:r>
      <w:proofErr w:type="spellEnd"/>
      <w:r w:rsidRPr="00B93103">
        <w:rPr>
          <w:rFonts w:ascii="Times New Roman" w:hAnsi="Times New Roman" w:cs="Times New Roman"/>
          <w:sz w:val="24"/>
          <w:szCs w:val="24"/>
        </w:rPr>
        <w:t xml:space="preserve"> “normatif bir </w:t>
      </w:r>
      <w:proofErr w:type="spellStart"/>
      <w:r w:rsidRPr="00B93103">
        <w:rPr>
          <w:rFonts w:ascii="Times New Roman" w:hAnsi="Times New Roman" w:cs="Times New Roman"/>
          <w:sz w:val="24"/>
          <w:szCs w:val="24"/>
        </w:rPr>
        <w:t>düzen”dir</w:t>
      </w:r>
      <w:proofErr w:type="spellEnd"/>
      <w:r w:rsidRPr="00B93103">
        <w:rPr>
          <w:rFonts w:ascii="Times New Roman" w:hAnsi="Times New Roman" w:cs="Times New Roman"/>
          <w:sz w:val="24"/>
          <w:szCs w:val="24"/>
        </w:rPr>
        <w:t xml:space="preserve">. Her hukuk kuralı pozitif bir normu, yani bir </w:t>
      </w:r>
      <w:proofErr w:type="spellStart"/>
      <w:r w:rsidRPr="00B93103">
        <w:rPr>
          <w:rFonts w:ascii="Times New Roman" w:hAnsi="Times New Roman" w:cs="Times New Roman"/>
          <w:sz w:val="24"/>
          <w:szCs w:val="24"/>
        </w:rPr>
        <w:t>davranıs</w:t>
      </w:r>
      <w:proofErr w:type="spellEnd"/>
      <w:r w:rsidRPr="00B93103">
        <w:rPr>
          <w:rFonts w:ascii="Times New Roman" w:hAnsi="Times New Roman" w:cs="Times New Roman"/>
          <w:sz w:val="24"/>
          <w:szCs w:val="24"/>
        </w:rPr>
        <w:t xml:space="preserve">̧ kuralını </w:t>
      </w:r>
      <w:proofErr w:type="spellStart"/>
      <w:r w:rsidRPr="00B93103">
        <w:rPr>
          <w:rFonts w:ascii="Times New Roman" w:hAnsi="Times New Roman" w:cs="Times New Roman"/>
          <w:sz w:val="24"/>
          <w:szCs w:val="24"/>
        </w:rPr>
        <w:t>içerir</w:t>
      </w:r>
      <w:proofErr w:type="spellEnd"/>
      <w:r w:rsidRPr="00B93103">
        <w:rPr>
          <w:rFonts w:ascii="Times New Roman" w:hAnsi="Times New Roman" w:cs="Times New Roman"/>
          <w:sz w:val="24"/>
          <w:szCs w:val="24"/>
        </w:rPr>
        <w:t xml:space="preserve">. Pozitif normun </w:t>
      </w:r>
      <w:proofErr w:type="spellStart"/>
      <w:r w:rsidRPr="00B93103">
        <w:rPr>
          <w:rFonts w:ascii="Times New Roman" w:hAnsi="Times New Roman" w:cs="Times New Roman"/>
          <w:sz w:val="24"/>
          <w:szCs w:val="24"/>
        </w:rPr>
        <w:t>varlığı</w:t>
      </w:r>
      <w:proofErr w:type="spellEnd"/>
      <w:r w:rsidRPr="00B93103">
        <w:rPr>
          <w:rFonts w:ascii="Times New Roman" w:hAnsi="Times New Roman" w:cs="Times New Roman"/>
          <w:sz w:val="24"/>
          <w:szCs w:val="24"/>
        </w:rPr>
        <w:t xml:space="preserve"> hukukun </w:t>
      </w:r>
      <w:proofErr w:type="spellStart"/>
      <w:r w:rsidRPr="00B93103">
        <w:rPr>
          <w:rFonts w:ascii="Times New Roman" w:hAnsi="Times New Roman" w:cs="Times New Roman"/>
          <w:sz w:val="24"/>
          <w:szCs w:val="24"/>
        </w:rPr>
        <w:t>somutlaşması</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için</w:t>
      </w:r>
      <w:proofErr w:type="spellEnd"/>
      <w:r w:rsidRPr="00B93103">
        <w:rPr>
          <w:rFonts w:ascii="Times New Roman" w:hAnsi="Times New Roman" w:cs="Times New Roman"/>
          <w:sz w:val="24"/>
          <w:szCs w:val="24"/>
        </w:rPr>
        <w:t xml:space="preserve"> de bir zorunluluk olmakla birlikte, hukuk sadece normlardan ibaret </w:t>
      </w:r>
      <w:proofErr w:type="spellStart"/>
      <w:r w:rsidRPr="00B93103">
        <w:rPr>
          <w:rFonts w:ascii="Times New Roman" w:hAnsi="Times New Roman" w:cs="Times New Roman"/>
          <w:sz w:val="24"/>
          <w:szCs w:val="24"/>
        </w:rPr>
        <w:t>görülemez</w:t>
      </w:r>
      <w:proofErr w:type="spellEnd"/>
      <w:r w:rsidRPr="00B93103">
        <w:rPr>
          <w:rFonts w:ascii="Times New Roman" w:hAnsi="Times New Roman" w:cs="Times New Roman"/>
          <w:sz w:val="24"/>
          <w:szCs w:val="24"/>
        </w:rPr>
        <w:t xml:space="preserve">. Hukukun asıl fonksiyonu toplum </w:t>
      </w:r>
      <w:proofErr w:type="spellStart"/>
      <w:r w:rsidRPr="00B93103">
        <w:rPr>
          <w:rFonts w:ascii="Times New Roman" w:hAnsi="Times New Roman" w:cs="Times New Roman"/>
          <w:sz w:val="24"/>
          <w:szCs w:val="24"/>
        </w:rPr>
        <w:t>yaşamını</w:t>
      </w:r>
      <w:proofErr w:type="spellEnd"/>
      <w:r w:rsidRPr="00B93103">
        <w:rPr>
          <w:rFonts w:ascii="Times New Roman" w:hAnsi="Times New Roman" w:cs="Times New Roman"/>
          <w:sz w:val="24"/>
          <w:szCs w:val="24"/>
        </w:rPr>
        <w:t xml:space="preserve"> etik esaslara göre </w:t>
      </w:r>
      <w:proofErr w:type="spellStart"/>
      <w:r w:rsidRPr="00B93103">
        <w:rPr>
          <w:rFonts w:ascii="Times New Roman" w:hAnsi="Times New Roman" w:cs="Times New Roman"/>
          <w:sz w:val="24"/>
          <w:szCs w:val="24"/>
        </w:rPr>
        <w:t>biçimlendirmektir</w:t>
      </w:r>
      <w:proofErr w:type="spellEnd"/>
      <w:r w:rsidRPr="00B93103">
        <w:rPr>
          <w:rFonts w:ascii="Times New Roman" w:hAnsi="Times New Roman" w:cs="Times New Roman"/>
          <w:sz w:val="24"/>
          <w:szCs w:val="24"/>
        </w:rPr>
        <w:t xml:space="preserve">. Bu nedenle </w:t>
      </w:r>
      <w:proofErr w:type="spellStart"/>
      <w:r w:rsidRPr="00B93103">
        <w:rPr>
          <w:rFonts w:ascii="Times New Roman" w:hAnsi="Times New Roman" w:cs="Times New Roman"/>
          <w:sz w:val="24"/>
          <w:szCs w:val="24"/>
        </w:rPr>
        <w:t>içerikten</w:t>
      </w:r>
      <w:proofErr w:type="spellEnd"/>
      <w:r w:rsidRPr="00B93103">
        <w:rPr>
          <w:rFonts w:ascii="Times New Roman" w:hAnsi="Times New Roman" w:cs="Times New Roman"/>
          <w:sz w:val="24"/>
          <w:szCs w:val="24"/>
        </w:rPr>
        <w:t xml:space="preserve"> soyutlanarak norma indirgenemez. Hukuk insan </w:t>
      </w:r>
      <w:proofErr w:type="spellStart"/>
      <w:r w:rsidRPr="00B93103">
        <w:rPr>
          <w:rFonts w:ascii="Times New Roman" w:hAnsi="Times New Roman" w:cs="Times New Roman"/>
          <w:sz w:val="24"/>
          <w:szCs w:val="24"/>
        </w:rPr>
        <w:t>davranışlarını</w:t>
      </w:r>
      <w:proofErr w:type="spellEnd"/>
      <w:r w:rsidRPr="00B93103">
        <w:rPr>
          <w:rFonts w:ascii="Times New Roman" w:hAnsi="Times New Roman" w:cs="Times New Roman"/>
          <w:sz w:val="24"/>
          <w:szCs w:val="24"/>
        </w:rPr>
        <w:t xml:space="preserve"> ve toplumsal </w:t>
      </w:r>
      <w:proofErr w:type="spellStart"/>
      <w:r w:rsidRPr="00B93103">
        <w:rPr>
          <w:rFonts w:ascii="Times New Roman" w:hAnsi="Times New Roman" w:cs="Times New Roman"/>
          <w:sz w:val="24"/>
          <w:szCs w:val="24"/>
        </w:rPr>
        <w:t>gerçekliği</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biçimlendirdiği</w:t>
      </w:r>
      <w:proofErr w:type="spellEnd"/>
      <w:r w:rsidRPr="00B93103">
        <w:rPr>
          <w:rFonts w:ascii="Times New Roman" w:hAnsi="Times New Roman" w:cs="Times New Roman"/>
          <w:sz w:val="24"/>
          <w:szCs w:val="24"/>
        </w:rPr>
        <w:t xml:space="preserve">; toplumla birlikte </w:t>
      </w:r>
      <w:proofErr w:type="spellStart"/>
      <w:r w:rsidRPr="00B93103">
        <w:rPr>
          <w:rFonts w:ascii="Times New Roman" w:hAnsi="Times New Roman" w:cs="Times New Roman"/>
          <w:sz w:val="24"/>
          <w:szCs w:val="24"/>
        </w:rPr>
        <w:t>doğup</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geliştiği</w:t>
      </w:r>
      <w:proofErr w:type="spellEnd"/>
      <w:r w:rsidRPr="00B93103">
        <w:rPr>
          <w:rFonts w:ascii="Times New Roman" w:hAnsi="Times New Roman" w:cs="Times New Roman"/>
          <w:sz w:val="24"/>
          <w:szCs w:val="24"/>
        </w:rPr>
        <w:t xml:space="preserve"> ve toplum gibi yer ve zaman </w:t>
      </w:r>
      <w:proofErr w:type="spellStart"/>
      <w:r w:rsidRPr="00B93103">
        <w:rPr>
          <w:rFonts w:ascii="Times New Roman" w:hAnsi="Times New Roman" w:cs="Times New Roman"/>
          <w:sz w:val="24"/>
          <w:szCs w:val="24"/>
        </w:rPr>
        <w:t>koşullarına</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bağımlı</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olduğu</w:t>
      </w:r>
      <w:proofErr w:type="spellEnd"/>
      <w:r w:rsidRPr="00B93103">
        <w:rPr>
          <w:rFonts w:ascii="Times New Roman" w:hAnsi="Times New Roman" w:cs="Times New Roman"/>
          <w:sz w:val="24"/>
          <w:szCs w:val="24"/>
        </w:rPr>
        <w:t xml:space="preserve"> </w:t>
      </w:r>
      <w:proofErr w:type="spellStart"/>
      <w:r w:rsidRPr="00B93103">
        <w:rPr>
          <w:rFonts w:ascii="Times New Roman" w:hAnsi="Times New Roman" w:cs="Times New Roman"/>
          <w:sz w:val="24"/>
          <w:szCs w:val="24"/>
        </w:rPr>
        <w:t>için</w:t>
      </w:r>
      <w:proofErr w:type="spellEnd"/>
      <w:r w:rsidRPr="00B93103">
        <w:rPr>
          <w:rFonts w:ascii="Times New Roman" w:hAnsi="Times New Roman" w:cs="Times New Roman"/>
          <w:sz w:val="24"/>
          <w:szCs w:val="24"/>
        </w:rPr>
        <w:t xml:space="preserve"> aynı zamanda </w:t>
      </w:r>
      <w:proofErr w:type="spellStart"/>
      <w:r w:rsidRPr="00B93103">
        <w:rPr>
          <w:rFonts w:ascii="Times New Roman" w:hAnsi="Times New Roman" w:cs="Times New Roman"/>
          <w:sz w:val="24"/>
          <w:szCs w:val="24"/>
        </w:rPr>
        <w:t>gözlemlenebilir</w:t>
      </w:r>
      <w:proofErr w:type="spellEnd"/>
      <w:r w:rsidRPr="00B93103">
        <w:rPr>
          <w:rFonts w:ascii="Times New Roman" w:hAnsi="Times New Roman" w:cs="Times New Roman"/>
          <w:sz w:val="24"/>
          <w:szCs w:val="24"/>
        </w:rPr>
        <w:t xml:space="preserve"> bir toplumsal olgudur. Derste hukukun bu çok boyutlu karakteri hukuka ilişkin olarak yapılan çağdaş </w:t>
      </w:r>
      <w:proofErr w:type="spellStart"/>
      <w:r w:rsidRPr="00B93103">
        <w:rPr>
          <w:rFonts w:ascii="Times New Roman" w:hAnsi="Times New Roman" w:cs="Times New Roman"/>
          <w:sz w:val="24"/>
          <w:szCs w:val="24"/>
        </w:rPr>
        <w:t>disiplinlerarası</w:t>
      </w:r>
      <w:proofErr w:type="spellEnd"/>
      <w:r w:rsidRPr="00B93103">
        <w:rPr>
          <w:rFonts w:ascii="Times New Roman" w:hAnsi="Times New Roman" w:cs="Times New Roman"/>
          <w:sz w:val="24"/>
          <w:szCs w:val="24"/>
        </w:rPr>
        <w:t xml:space="preserve"> çalışmalardan yararlanarak incelenmeye çalışılacak ve güncel hukuk tartışmaları bu perspektifle ele </w:t>
      </w:r>
      <w:proofErr w:type="spellStart"/>
      <w:r w:rsidRPr="00B93103">
        <w:rPr>
          <w:rFonts w:ascii="Times New Roman" w:hAnsi="Times New Roman" w:cs="Times New Roman"/>
          <w:sz w:val="24"/>
          <w:szCs w:val="24"/>
        </w:rPr>
        <w:t>alınacaktı</w:t>
      </w:r>
      <w:r>
        <w:rPr>
          <w:rFonts w:ascii="Times New Roman" w:hAnsi="Times New Roman" w:cs="Times New Roman"/>
          <w:sz w:val="24"/>
          <w:szCs w:val="24"/>
        </w:rPr>
        <w:t>e</w:t>
      </w:r>
      <w:proofErr w:type="spellEnd"/>
      <w:r>
        <w:rPr>
          <w:rFonts w:ascii="Times New Roman" w:hAnsi="Times New Roman" w:cs="Times New Roman"/>
          <w:sz w:val="24"/>
          <w:szCs w:val="24"/>
        </w:rPr>
        <w:t>.</w:t>
      </w:r>
    </w:p>
    <w:sectPr w:rsidR="00B93103" w:rsidRPr="003C317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B506138"/>
    <w:multiLevelType w:val="hybridMultilevel"/>
    <w:tmpl w:val="86781A1E"/>
    <w:lvl w:ilvl="0" w:tplc="4E2A1E08">
      <w:numFmt w:val="bullet"/>
      <w:lvlText w:val="-"/>
      <w:lvlJc w:val="left"/>
      <w:pPr>
        <w:ind w:left="720" w:hanging="360"/>
      </w:pPr>
      <w:rPr>
        <w:rFonts w:ascii="Aptos" w:eastAsiaTheme="minorHAnsi" w:hAnsi="Apto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D432D50"/>
    <w:multiLevelType w:val="hybridMultilevel"/>
    <w:tmpl w:val="1F5C74CC"/>
    <w:lvl w:ilvl="0" w:tplc="3D94C76C">
      <w:numFmt w:val="bullet"/>
      <w:lvlText w:val="-"/>
      <w:lvlJc w:val="left"/>
      <w:pPr>
        <w:ind w:left="720" w:hanging="360"/>
      </w:pPr>
      <w:rPr>
        <w:rFonts w:ascii="Aptos" w:eastAsiaTheme="minorHAnsi" w:hAnsi="Apto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266618376">
    <w:abstractNumId w:val="0"/>
  </w:num>
  <w:num w:numId="2" w16cid:durableId="9432695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4B6"/>
    <w:rsid w:val="00063B44"/>
    <w:rsid w:val="00083D13"/>
    <w:rsid w:val="0019628D"/>
    <w:rsid w:val="001C6793"/>
    <w:rsid w:val="00325761"/>
    <w:rsid w:val="00371E1F"/>
    <w:rsid w:val="003C317D"/>
    <w:rsid w:val="003C3444"/>
    <w:rsid w:val="00412492"/>
    <w:rsid w:val="004E2C7B"/>
    <w:rsid w:val="00520F27"/>
    <w:rsid w:val="005403A2"/>
    <w:rsid w:val="006E480A"/>
    <w:rsid w:val="008243B8"/>
    <w:rsid w:val="00891B05"/>
    <w:rsid w:val="008962C4"/>
    <w:rsid w:val="009C5599"/>
    <w:rsid w:val="009E5AB6"/>
    <w:rsid w:val="00A344B6"/>
    <w:rsid w:val="00B43BE3"/>
    <w:rsid w:val="00B51515"/>
    <w:rsid w:val="00B93103"/>
    <w:rsid w:val="00CD2046"/>
    <w:rsid w:val="00DA7F91"/>
    <w:rsid w:val="00E71890"/>
    <w:rsid w:val="00ED38EF"/>
    <w:rsid w:val="00F300B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AFD51"/>
  <w15:chartTrackingRefBased/>
  <w15:docId w15:val="{DBD8221D-EBCD-476D-976B-AF1B3E88F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A344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A344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A344B6"/>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A344B6"/>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A344B6"/>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A344B6"/>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A344B6"/>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A344B6"/>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A344B6"/>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A344B6"/>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A344B6"/>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A344B6"/>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A344B6"/>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A344B6"/>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A344B6"/>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A344B6"/>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A344B6"/>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A344B6"/>
    <w:rPr>
      <w:rFonts w:eastAsiaTheme="majorEastAsia" w:cstheme="majorBidi"/>
      <w:color w:val="272727" w:themeColor="text1" w:themeTint="D8"/>
    </w:rPr>
  </w:style>
  <w:style w:type="paragraph" w:styleId="KonuBal">
    <w:name w:val="Title"/>
    <w:basedOn w:val="Normal"/>
    <w:next w:val="Normal"/>
    <w:link w:val="KonuBalChar"/>
    <w:uiPriority w:val="10"/>
    <w:qFormat/>
    <w:rsid w:val="00A344B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A344B6"/>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A344B6"/>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A344B6"/>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A344B6"/>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A344B6"/>
    <w:rPr>
      <w:i/>
      <w:iCs/>
      <w:color w:val="404040" w:themeColor="text1" w:themeTint="BF"/>
    </w:rPr>
  </w:style>
  <w:style w:type="paragraph" w:styleId="ListeParagraf">
    <w:name w:val="List Paragraph"/>
    <w:basedOn w:val="Normal"/>
    <w:uiPriority w:val="34"/>
    <w:qFormat/>
    <w:rsid w:val="00A344B6"/>
    <w:pPr>
      <w:ind w:left="720"/>
      <w:contextualSpacing/>
    </w:pPr>
  </w:style>
  <w:style w:type="character" w:styleId="GlVurgulama">
    <w:name w:val="Intense Emphasis"/>
    <w:basedOn w:val="VarsaylanParagrafYazTipi"/>
    <w:uiPriority w:val="21"/>
    <w:qFormat/>
    <w:rsid w:val="00A344B6"/>
    <w:rPr>
      <w:i/>
      <w:iCs/>
      <w:color w:val="0F4761" w:themeColor="accent1" w:themeShade="BF"/>
    </w:rPr>
  </w:style>
  <w:style w:type="paragraph" w:styleId="GlAlnt">
    <w:name w:val="Intense Quote"/>
    <w:basedOn w:val="Normal"/>
    <w:next w:val="Normal"/>
    <w:link w:val="GlAlntChar"/>
    <w:uiPriority w:val="30"/>
    <w:qFormat/>
    <w:rsid w:val="00A344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A344B6"/>
    <w:rPr>
      <w:i/>
      <w:iCs/>
      <w:color w:val="0F4761" w:themeColor="accent1" w:themeShade="BF"/>
    </w:rPr>
  </w:style>
  <w:style w:type="character" w:styleId="GlBavuru">
    <w:name w:val="Intense Reference"/>
    <w:basedOn w:val="VarsaylanParagrafYazTipi"/>
    <w:uiPriority w:val="32"/>
    <w:qFormat/>
    <w:rsid w:val="00A344B6"/>
    <w:rPr>
      <w:b/>
      <w:bCs/>
      <w:smallCaps/>
      <w:color w:val="0F4761" w:themeColor="accent1" w:themeShade="BF"/>
      <w:spacing w:val="5"/>
    </w:rPr>
  </w:style>
  <w:style w:type="character" w:customStyle="1" w:styleId="Gvdemetni2">
    <w:name w:val="Gövde metni (2)_"/>
    <w:basedOn w:val="VarsaylanParagrafYazTipi"/>
    <w:link w:val="Gvdemetni20"/>
    <w:rsid w:val="008962C4"/>
    <w:rPr>
      <w:rFonts w:ascii="Times New Roman" w:eastAsia="Times New Roman" w:hAnsi="Times New Roman" w:cs="Times New Roman"/>
      <w:sz w:val="26"/>
      <w:szCs w:val="26"/>
      <w:shd w:val="clear" w:color="auto" w:fill="FFFFFF"/>
    </w:rPr>
  </w:style>
  <w:style w:type="paragraph" w:customStyle="1" w:styleId="Gvdemetni20">
    <w:name w:val="Gövde metni (2)"/>
    <w:basedOn w:val="Normal"/>
    <w:link w:val="Gvdemetni2"/>
    <w:rsid w:val="008962C4"/>
    <w:pPr>
      <w:widowControl w:val="0"/>
      <w:shd w:val="clear" w:color="auto" w:fill="FFFFFF"/>
      <w:spacing w:after="0" w:line="300" w:lineRule="exact"/>
    </w:pPr>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3</Pages>
  <Words>1261</Words>
  <Characters>7190</Characters>
  <Application>Microsoft Office Word</Application>
  <DocSecurity>0</DocSecurity>
  <Lines>59</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dcterms:created xsi:type="dcterms:W3CDTF">2024-07-31T07:22:00Z</dcterms:created>
  <dcterms:modified xsi:type="dcterms:W3CDTF">2024-08-15T18:30:00Z</dcterms:modified>
</cp:coreProperties>
</file>