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FEC08A7" w14:textId="77777777" w:rsidR="00923C67" w:rsidRDefault="007504A4">
      <w:pPr>
        <w:jc w:val="center"/>
        <w:rPr>
          <w:rFonts w:ascii="Gill Sans" w:eastAsia="Gill Sans" w:hAnsi="Gill Sans" w:cs="Gill Sans"/>
          <w:b/>
          <w:sz w:val="16"/>
          <w:szCs w:val="16"/>
        </w:rPr>
      </w:pPr>
      <w:bookmarkStart w:id="0" w:name="_GoBack"/>
      <w:bookmarkEnd w:id="0"/>
      <w:r>
        <w:rPr>
          <w:rFonts w:ascii="Gill Sans" w:eastAsia="Gill Sans" w:hAnsi="Gill Sans" w:cs="Gill Sans"/>
          <w:b/>
          <w:noProof/>
          <w:sz w:val="16"/>
          <w:szCs w:val="16"/>
          <w:lang w:val="tr-TR"/>
        </w:rPr>
        <w:drawing>
          <wp:inline distT="0" distB="0" distL="0" distR="0" wp14:anchorId="0EA87CC0" wp14:editId="70C682E6">
            <wp:extent cx="1963905" cy="1153056"/>
            <wp:effectExtent l="0" t="0" r="0" b="0"/>
            <wp:docPr id="6"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5"/>
                    <a:srcRect b="22839"/>
                    <a:stretch>
                      <a:fillRect/>
                    </a:stretch>
                  </pic:blipFill>
                  <pic:spPr>
                    <a:xfrm>
                      <a:off x="0" y="0"/>
                      <a:ext cx="1963905" cy="1153056"/>
                    </a:xfrm>
                    <a:prstGeom prst="rect">
                      <a:avLst/>
                    </a:prstGeom>
                    <a:ln/>
                  </pic:spPr>
                </pic:pic>
              </a:graphicData>
            </a:graphic>
          </wp:inline>
        </w:drawing>
      </w:r>
    </w:p>
    <w:p w14:paraId="2D14BC12" w14:textId="77777777" w:rsidR="00923C67" w:rsidRDefault="00923C67">
      <w:pPr>
        <w:pBdr>
          <w:top w:val="nil"/>
          <w:left w:val="nil"/>
          <w:bottom w:val="nil"/>
          <w:right w:val="nil"/>
          <w:between w:val="nil"/>
        </w:pBdr>
        <w:spacing w:after="0" w:line="240" w:lineRule="auto"/>
        <w:jc w:val="center"/>
        <w:rPr>
          <w:rFonts w:ascii="Gill Sans" w:eastAsia="Gill Sans" w:hAnsi="Gill Sans" w:cs="Gill Sans"/>
          <w:color w:val="002060"/>
          <w:sz w:val="28"/>
          <w:szCs w:val="28"/>
        </w:rPr>
      </w:pPr>
    </w:p>
    <w:p w14:paraId="0F7FCA5F" w14:textId="72FD1B7A" w:rsidR="00923C67" w:rsidRDefault="007504A4">
      <w:pPr>
        <w:pBdr>
          <w:top w:val="nil"/>
          <w:left w:val="nil"/>
          <w:bottom w:val="nil"/>
          <w:right w:val="nil"/>
          <w:between w:val="nil"/>
        </w:pBdr>
        <w:spacing w:after="0" w:line="240" w:lineRule="auto"/>
        <w:jc w:val="center"/>
        <w:rPr>
          <w:rFonts w:ascii="Gill Sans" w:eastAsia="Gill Sans" w:hAnsi="Gill Sans" w:cs="Gill Sans"/>
          <w:color w:val="1F497D"/>
          <w:sz w:val="28"/>
          <w:szCs w:val="28"/>
        </w:rPr>
      </w:pPr>
      <w:r w:rsidRPr="007504A4">
        <w:rPr>
          <w:rFonts w:ascii="Gill Sans" w:eastAsia="Gill Sans" w:hAnsi="Gill Sans" w:cs="Gill Sans"/>
          <w:color w:val="1F497D"/>
          <w:sz w:val="28"/>
          <w:szCs w:val="28"/>
        </w:rPr>
        <w:t>LOGISTICS MANAGEMENT</w:t>
      </w:r>
      <w:r>
        <w:rPr>
          <w:rFonts w:ascii="Gill Sans" w:eastAsia="Gill Sans" w:hAnsi="Gill Sans" w:cs="Gill Sans"/>
          <w:color w:val="1F497D"/>
          <w:sz w:val="28"/>
          <w:szCs w:val="28"/>
        </w:rPr>
        <w:t xml:space="preserve"> UNDERGRADUATE PROGRAM</w:t>
      </w:r>
    </w:p>
    <w:p w14:paraId="34834B18" w14:textId="77777777" w:rsidR="00923C67" w:rsidRDefault="007504A4">
      <w:pPr>
        <w:pBdr>
          <w:top w:val="nil"/>
          <w:left w:val="nil"/>
          <w:bottom w:val="nil"/>
          <w:right w:val="nil"/>
          <w:between w:val="nil"/>
        </w:pBdr>
        <w:spacing w:after="0" w:line="240" w:lineRule="auto"/>
        <w:jc w:val="center"/>
        <w:rPr>
          <w:rFonts w:ascii="Gill Sans" w:eastAsia="Gill Sans" w:hAnsi="Gill Sans" w:cs="Gill Sans"/>
          <w:color w:val="1F497D"/>
          <w:sz w:val="28"/>
          <w:szCs w:val="28"/>
        </w:rPr>
      </w:pPr>
      <w:r>
        <w:rPr>
          <w:rFonts w:ascii="Gill Sans" w:eastAsia="Gill Sans" w:hAnsi="Gill Sans" w:cs="Gill Sans"/>
          <w:color w:val="1F497D"/>
          <w:sz w:val="28"/>
          <w:szCs w:val="28"/>
        </w:rPr>
        <w:t>COURSE DESCRIPTIONS</w:t>
      </w:r>
    </w:p>
    <w:p w14:paraId="2BE4B47B" w14:textId="77777777" w:rsidR="00923C67" w:rsidRDefault="00923C67">
      <w:pPr>
        <w:pBdr>
          <w:top w:val="nil"/>
          <w:left w:val="nil"/>
          <w:bottom w:val="nil"/>
          <w:right w:val="nil"/>
          <w:between w:val="nil"/>
        </w:pBdr>
        <w:spacing w:after="0" w:line="240" w:lineRule="auto"/>
        <w:jc w:val="center"/>
        <w:rPr>
          <w:rFonts w:ascii="Gill Sans" w:eastAsia="Gill Sans" w:hAnsi="Gill Sans" w:cs="Gill Sans"/>
          <w:color w:val="002060"/>
          <w:sz w:val="28"/>
          <w:szCs w:val="28"/>
        </w:rPr>
      </w:pPr>
    </w:p>
    <w:p w14:paraId="7FECA793" w14:textId="77777777" w:rsidR="00923C67" w:rsidRDefault="00923C67">
      <w:pPr>
        <w:pBdr>
          <w:top w:val="nil"/>
          <w:left w:val="nil"/>
          <w:bottom w:val="nil"/>
          <w:right w:val="nil"/>
          <w:between w:val="nil"/>
        </w:pBdr>
        <w:spacing w:after="0" w:line="240" w:lineRule="auto"/>
        <w:jc w:val="center"/>
        <w:rPr>
          <w:rFonts w:ascii="Gill Sans" w:eastAsia="Gill Sans" w:hAnsi="Gill Sans" w:cs="Gill Sans"/>
          <w:color w:val="002060"/>
          <w:sz w:val="28"/>
          <w:szCs w:val="28"/>
        </w:rPr>
      </w:pPr>
    </w:p>
    <w:p w14:paraId="34E5AAE3" w14:textId="77777777" w:rsidR="00923C67" w:rsidRDefault="007504A4">
      <w:pPr>
        <w:spacing w:after="0"/>
        <w:jc w:val="both"/>
        <w:rPr>
          <w:rFonts w:ascii="Gill Sans" w:eastAsia="Gill Sans" w:hAnsi="Gill Sans" w:cs="Gill Sans"/>
          <w:b/>
          <w:color w:val="1F497D"/>
        </w:rPr>
      </w:pPr>
      <w:r>
        <w:rPr>
          <w:rFonts w:ascii="Gill Sans" w:eastAsia="Gill Sans" w:hAnsi="Gill Sans" w:cs="Gill Sans"/>
          <w:b/>
          <w:color w:val="1F497D"/>
        </w:rPr>
        <w:t>CORE301</w:t>
      </w:r>
      <w:r>
        <w:t xml:space="preserve"> </w:t>
      </w:r>
      <w:r>
        <w:rPr>
          <w:rFonts w:ascii="Gill Sans" w:eastAsia="Gill Sans" w:hAnsi="Gill Sans" w:cs="Gill Sans"/>
          <w:b/>
          <w:color w:val="1F497D"/>
        </w:rPr>
        <w:t>Intermediate Academic Written English (2-2-0-3-4)</w:t>
      </w:r>
    </w:p>
    <w:p w14:paraId="69D9A34C" w14:textId="1E4863A4" w:rsidR="00923C67" w:rsidRDefault="007504A4">
      <w:pPr>
        <w:spacing w:after="0"/>
        <w:jc w:val="both"/>
        <w:rPr>
          <w:rFonts w:ascii="Gill Sans" w:eastAsia="Gill Sans" w:hAnsi="Gill Sans" w:cs="Gill Sans"/>
          <w:color w:val="1F497D"/>
        </w:rPr>
      </w:pPr>
      <w:r>
        <w:rPr>
          <w:rFonts w:ascii="Gill Sans" w:eastAsia="Gill Sans" w:hAnsi="Gill Sans" w:cs="Gill Sans"/>
          <w:color w:val="1F497D"/>
        </w:rPr>
        <w:t>Introduction to the course; tenses - advanced level; gerund, infinitive and participle constructions; adjectives and adverbs; relative and other clauses; modal verbs and concepts; passive constructions; reported speech; conditional constructions; variations of conditional constructions; developing a paragraph; making an outline; writing a descriptive paragraph; using synonyms; transitions to compare and contrast; phrasal verbs.</w:t>
      </w:r>
    </w:p>
    <w:p w14:paraId="5D5A9CD5" w14:textId="77777777" w:rsidR="00923C67" w:rsidRDefault="00923C67">
      <w:pPr>
        <w:spacing w:after="0"/>
        <w:jc w:val="both"/>
        <w:rPr>
          <w:rFonts w:ascii="Gill Sans" w:eastAsia="Gill Sans" w:hAnsi="Gill Sans" w:cs="Gill Sans"/>
          <w:b/>
          <w:color w:val="1F497D"/>
        </w:rPr>
      </w:pPr>
    </w:p>
    <w:p w14:paraId="783F8BBD" w14:textId="77777777" w:rsidR="00923C67" w:rsidRDefault="007504A4">
      <w:pPr>
        <w:spacing w:after="0" w:line="240" w:lineRule="auto"/>
        <w:rPr>
          <w:rFonts w:ascii="Gill Sans" w:eastAsia="Gill Sans" w:hAnsi="Gill Sans" w:cs="Gill Sans"/>
          <w:b/>
          <w:color w:val="1F497D"/>
        </w:rPr>
      </w:pPr>
      <w:r>
        <w:rPr>
          <w:rFonts w:ascii="Gill Sans" w:eastAsia="Gill Sans" w:hAnsi="Gill Sans" w:cs="Gill Sans"/>
          <w:b/>
          <w:color w:val="1F497D"/>
        </w:rPr>
        <w:t>CORE302 Intermediate Academic Spoken English (2-2-0-3-4)</w:t>
      </w:r>
    </w:p>
    <w:p w14:paraId="38E0D53C" w14:textId="77777777" w:rsidR="00923C67" w:rsidRDefault="007504A4">
      <w:pPr>
        <w:spacing w:after="0"/>
        <w:jc w:val="both"/>
        <w:rPr>
          <w:rFonts w:ascii="Gill Sans" w:eastAsia="Gill Sans" w:hAnsi="Gill Sans" w:cs="Gill Sans"/>
          <w:color w:val="1F497D"/>
        </w:rPr>
      </w:pPr>
      <w:r>
        <w:rPr>
          <w:rFonts w:ascii="Gill Sans" w:eastAsia="Gill Sans" w:hAnsi="Gill Sans" w:cs="Gill Sans"/>
          <w:color w:val="1F497D"/>
        </w:rPr>
        <w:t>Advanced practices to develop reading; listening, writing and oral presentation skills; matching definitions and defining new terms; learning an using noun collocations to expand vocabulary; using noun collocations; sentence fragments; writing an opinion essay with a counterargument; using prefixes to guess meaning of new vocabulary; writing a cause &amp; effect essay; complex sentences with "because, since, when"; writing a problem, solution essay and writing thesis statements; passive voice.</w:t>
      </w:r>
    </w:p>
    <w:p w14:paraId="24613724" w14:textId="77777777" w:rsidR="00923C67" w:rsidRDefault="00923C67">
      <w:pPr>
        <w:spacing w:after="0" w:line="240" w:lineRule="auto"/>
        <w:jc w:val="both"/>
        <w:rPr>
          <w:rFonts w:ascii="Gill Sans" w:eastAsia="Gill Sans" w:hAnsi="Gill Sans" w:cs="Gill Sans"/>
          <w:color w:val="1F497D"/>
        </w:rPr>
      </w:pPr>
    </w:p>
    <w:p w14:paraId="408D1979" w14:textId="77777777" w:rsidR="00923C67" w:rsidRDefault="007504A4">
      <w:pPr>
        <w:spacing w:after="0" w:line="240" w:lineRule="auto"/>
        <w:jc w:val="both"/>
        <w:rPr>
          <w:rFonts w:ascii="Gill Sans" w:eastAsia="Gill Sans" w:hAnsi="Gill Sans" w:cs="Gill Sans"/>
          <w:b/>
          <w:color w:val="1F497D"/>
        </w:rPr>
      </w:pPr>
      <w:r>
        <w:rPr>
          <w:rFonts w:ascii="Gill Sans" w:eastAsia="Gill Sans" w:hAnsi="Gill Sans" w:cs="Gill Sans"/>
          <w:b/>
          <w:color w:val="1F497D"/>
        </w:rPr>
        <w:t>TRD111 Turkish I (2-0-0-2-2)</w:t>
      </w:r>
    </w:p>
    <w:p w14:paraId="0017160C" w14:textId="77777777" w:rsidR="00923C67" w:rsidRDefault="007504A4">
      <w:pPr>
        <w:spacing w:after="0" w:line="240" w:lineRule="auto"/>
        <w:jc w:val="both"/>
        <w:rPr>
          <w:rFonts w:ascii="Gill Sans" w:eastAsia="Gill Sans" w:hAnsi="Gill Sans" w:cs="Gill Sans"/>
          <w:color w:val="1F497D"/>
        </w:rPr>
      </w:pPr>
      <w:r>
        <w:rPr>
          <w:rFonts w:ascii="Gill Sans" w:eastAsia="Gill Sans" w:hAnsi="Gill Sans" w:cs="Gill Sans"/>
          <w:color w:val="1F497D"/>
        </w:rPr>
        <w:t>Orthographic rules; phonetics; semantics; wording; language; general information about Turkish; history of Turkish language; instructor to verify completion; Turkish alphabet; vowels in Turkish alphabet; Turkish pronunciation; vowel harmony; plural suffix in Turkish; personal pronoun in Turkish; question suffixes in Turkish; questions sentences in Turkish; ordinal numbers in Turkish; Turkish adjectives and it’s opposites; basic verbs in Turkish; present continuous tense in Turkish; present continuous tense suffix in Turkish; emotions in Turkish; reactions in Turkish.</w:t>
      </w:r>
    </w:p>
    <w:p w14:paraId="10B56ABB" w14:textId="77777777" w:rsidR="00923C67" w:rsidRDefault="00923C67">
      <w:pPr>
        <w:spacing w:after="0" w:line="240" w:lineRule="auto"/>
        <w:jc w:val="both"/>
        <w:rPr>
          <w:rFonts w:ascii="Gill Sans" w:eastAsia="Gill Sans" w:hAnsi="Gill Sans" w:cs="Gill Sans"/>
          <w:color w:val="1F497D"/>
        </w:rPr>
      </w:pPr>
    </w:p>
    <w:p w14:paraId="1ACC4D65" w14:textId="77777777" w:rsidR="00923C67" w:rsidRDefault="007504A4">
      <w:pPr>
        <w:spacing w:after="0" w:line="240" w:lineRule="auto"/>
        <w:jc w:val="both"/>
        <w:rPr>
          <w:rFonts w:ascii="Gill Sans" w:eastAsia="Gill Sans" w:hAnsi="Gill Sans" w:cs="Gill Sans"/>
          <w:b/>
          <w:color w:val="1F497D"/>
        </w:rPr>
      </w:pPr>
      <w:r>
        <w:rPr>
          <w:rFonts w:ascii="Gill Sans" w:eastAsia="Gill Sans" w:hAnsi="Gill Sans" w:cs="Gill Sans"/>
          <w:b/>
          <w:color w:val="1F497D"/>
        </w:rPr>
        <w:t>TRD112 Turkish II (2-0-0-2-2)</w:t>
      </w:r>
    </w:p>
    <w:p w14:paraId="2AC1EB6F" w14:textId="77777777" w:rsidR="00923C67" w:rsidRDefault="007504A4">
      <w:pPr>
        <w:spacing w:after="0" w:line="240" w:lineRule="auto"/>
        <w:jc w:val="both"/>
        <w:rPr>
          <w:rFonts w:ascii="Gill Sans" w:eastAsia="Gill Sans" w:hAnsi="Gill Sans" w:cs="Gill Sans"/>
          <w:color w:val="1F497D"/>
        </w:rPr>
      </w:pPr>
      <w:r>
        <w:rPr>
          <w:rFonts w:ascii="Gill Sans" w:eastAsia="Gill Sans" w:hAnsi="Gill Sans" w:cs="Gill Sans"/>
          <w:color w:val="1F497D"/>
        </w:rPr>
        <w:t>Language families; accents and dialects; verbal and written expressions; instructor to verify completion; general information about Turkish; history of Turkish language; possessive pronouns in Turkish; Turkish vowel harmony; possessive suffixes in Turkish; consonant voicing in Turkish; present continuous tense in Turkish; imperative mood in Turkish; temporal adverbs in Turkish; talking about life history; compare the conjunctions.</w:t>
      </w:r>
    </w:p>
    <w:p w14:paraId="6C71DD7C" w14:textId="77777777" w:rsidR="00923C67" w:rsidRDefault="00923C67">
      <w:pPr>
        <w:spacing w:after="0" w:line="240" w:lineRule="auto"/>
        <w:jc w:val="both"/>
        <w:rPr>
          <w:rFonts w:ascii="Gill Sans" w:eastAsia="Gill Sans" w:hAnsi="Gill Sans" w:cs="Gill Sans"/>
          <w:color w:val="1F497D"/>
        </w:rPr>
      </w:pPr>
    </w:p>
    <w:p w14:paraId="63E5CC4A" w14:textId="77777777" w:rsidR="007504A4" w:rsidRDefault="007504A4">
      <w:pPr>
        <w:rPr>
          <w:rFonts w:ascii="Gill Sans" w:eastAsia="Gill Sans" w:hAnsi="Gill Sans" w:cs="Gill Sans"/>
          <w:b/>
          <w:color w:val="1F497D"/>
        </w:rPr>
      </w:pPr>
      <w:r>
        <w:rPr>
          <w:rFonts w:ascii="Gill Sans" w:eastAsia="Gill Sans" w:hAnsi="Gill Sans" w:cs="Gill Sans"/>
          <w:b/>
          <w:color w:val="1F497D"/>
        </w:rPr>
        <w:br w:type="page"/>
      </w:r>
    </w:p>
    <w:p w14:paraId="674AC7EB" w14:textId="7314113A" w:rsidR="00923C67" w:rsidRDefault="007504A4">
      <w:pPr>
        <w:spacing w:after="0" w:line="240" w:lineRule="auto"/>
        <w:jc w:val="both"/>
        <w:rPr>
          <w:rFonts w:ascii="Gill Sans" w:eastAsia="Gill Sans" w:hAnsi="Gill Sans" w:cs="Gill Sans"/>
          <w:b/>
          <w:color w:val="1F497D"/>
        </w:rPr>
      </w:pPr>
      <w:r>
        <w:rPr>
          <w:rFonts w:ascii="Gill Sans" w:eastAsia="Gill Sans" w:hAnsi="Gill Sans" w:cs="Gill Sans"/>
          <w:b/>
          <w:color w:val="1F497D"/>
        </w:rPr>
        <w:lastRenderedPageBreak/>
        <w:t>ATA111 Atatürk Principles and the History of Turkish Revolution I (2-0-0-2-2)</w:t>
      </w:r>
    </w:p>
    <w:p w14:paraId="3AE47589" w14:textId="77777777" w:rsidR="00923C67" w:rsidRDefault="007504A4">
      <w:pPr>
        <w:spacing w:after="0" w:line="240" w:lineRule="auto"/>
        <w:jc w:val="both"/>
        <w:rPr>
          <w:rFonts w:ascii="Gill Sans" w:eastAsia="Gill Sans" w:hAnsi="Gill Sans" w:cs="Gill Sans"/>
          <w:color w:val="1F497D"/>
        </w:rPr>
      </w:pPr>
      <w:r>
        <w:rPr>
          <w:rFonts w:ascii="Gill Sans" w:eastAsia="Gill Sans" w:hAnsi="Gill Sans" w:cs="Gill Sans"/>
          <w:color w:val="1F497D"/>
        </w:rPr>
        <w:t xml:space="preserve">The aim of the revolution and related topics; the decline and fall of Ottoman Empire; the First World War; </w:t>
      </w:r>
      <w:proofErr w:type="spellStart"/>
      <w:r>
        <w:rPr>
          <w:rFonts w:ascii="Gill Sans" w:eastAsia="Gill Sans" w:hAnsi="Gill Sans" w:cs="Gill Sans"/>
          <w:color w:val="1F497D"/>
        </w:rPr>
        <w:t>Mondros</w:t>
      </w:r>
      <w:proofErr w:type="spellEnd"/>
      <w:r>
        <w:rPr>
          <w:rFonts w:ascii="Gill Sans" w:eastAsia="Gill Sans" w:hAnsi="Gill Sans" w:cs="Gill Sans"/>
          <w:color w:val="1F497D"/>
        </w:rPr>
        <w:t xml:space="preserve"> and Sevres Agreements; Mustafa Kemal and the organization of the national struggle; the last Ottoman Parliament and the proclamation of Misak-ı Milli; the establishment of Turkish grand national assembly.</w:t>
      </w:r>
    </w:p>
    <w:p w14:paraId="697DE993" w14:textId="77777777" w:rsidR="00923C67" w:rsidRDefault="00923C67">
      <w:pPr>
        <w:spacing w:after="0" w:line="240" w:lineRule="auto"/>
        <w:jc w:val="both"/>
        <w:rPr>
          <w:rFonts w:ascii="Gill Sans" w:eastAsia="Gill Sans" w:hAnsi="Gill Sans" w:cs="Gill Sans"/>
          <w:b/>
          <w:color w:val="1F497D"/>
        </w:rPr>
      </w:pPr>
    </w:p>
    <w:p w14:paraId="1E76A052" w14:textId="77777777" w:rsidR="00923C67" w:rsidRDefault="007504A4">
      <w:pPr>
        <w:spacing w:after="0" w:line="240" w:lineRule="auto"/>
        <w:jc w:val="both"/>
        <w:rPr>
          <w:rFonts w:ascii="Gill Sans" w:eastAsia="Gill Sans" w:hAnsi="Gill Sans" w:cs="Gill Sans"/>
          <w:b/>
          <w:color w:val="1F497D"/>
        </w:rPr>
      </w:pPr>
      <w:r>
        <w:rPr>
          <w:rFonts w:ascii="Gill Sans" w:eastAsia="Gill Sans" w:hAnsi="Gill Sans" w:cs="Gill Sans"/>
          <w:b/>
          <w:color w:val="1F497D"/>
        </w:rPr>
        <w:t>ATA112 Atatürk Principles and the History of Turkish Revolution II (2-0-0-2-2)</w:t>
      </w:r>
    </w:p>
    <w:p w14:paraId="47F11D31" w14:textId="77777777" w:rsidR="00923C67" w:rsidRDefault="007504A4">
      <w:pPr>
        <w:spacing w:after="0" w:line="240" w:lineRule="auto"/>
        <w:jc w:val="both"/>
        <w:rPr>
          <w:rFonts w:ascii="Gill Sans" w:eastAsia="Gill Sans" w:hAnsi="Gill Sans" w:cs="Gill Sans"/>
          <w:color w:val="1F497D"/>
        </w:rPr>
      </w:pPr>
      <w:r>
        <w:rPr>
          <w:rFonts w:ascii="Gill Sans" w:eastAsia="Gill Sans" w:hAnsi="Gill Sans" w:cs="Gill Sans"/>
          <w:color w:val="1F497D"/>
        </w:rPr>
        <w:t xml:space="preserve">The National War of Independence; eastern and western fronts; </w:t>
      </w:r>
      <w:proofErr w:type="spellStart"/>
      <w:r>
        <w:rPr>
          <w:rFonts w:ascii="Gill Sans" w:eastAsia="Gill Sans" w:hAnsi="Gill Sans" w:cs="Gill Sans"/>
          <w:color w:val="1F497D"/>
        </w:rPr>
        <w:t>Mudanya</w:t>
      </w:r>
      <w:proofErr w:type="spellEnd"/>
      <w:r>
        <w:rPr>
          <w:rFonts w:ascii="Gill Sans" w:eastAsia="Gill Sans" w:hAnsi="Gill Sans" w:cs="Gill Sans"/>
          <w:color w:val="1F497D"/>
        </w:rPr>
        <w:t xml:space="preserve"> Agreement and the end of sultanate; Lausanne Peace Conference and the establishment of the republic; the new republic; the opposition and Progressive Republican Party; the renovations in education and culture; the </w:t>
      </w:r>
      <w:proofErr w:type="spellStart"/>
      <w:r>
        <w:rPr>
          <w:rFonts w:ascii="Gill Sans" w:eastAsia="Gill Sans" w:hAnsi="Gill Sans" w:cs="Gill Sans"/>
          <w:color w:val="1F497D"/>
        </w:rPr>
        <w:t>Mousul</w:t>
      </w:r>
      <w:proofErr w:type="spellEnd"/>
      <w:r>
        <w:rPr>
          <w:rFonts w:ascii="Gill Sans" w:eastAsia="Gill Sans" w:hAnsi="Gill Sans" w:cs="Gill Sans"/>
          <w:color w:val="1F497D"/>
        </w:rPr>
        <w:t xml:space="preserve"> question; the experiment of multiparty system-Liberal Republican Party</w:t>
      </w:r>
    </w:p>
    <w:p w14:paraId="07F9AB82" w14:textId="77777777" w:rsidR="00923C67" w:rsidRDefault="00923C67">
      <w:pPr>
        <w:spacing w:after="0" w:line="240" w:lineRule="auto"/>
        <w:jc w:val="both"/>
        <w:rPr>
          <w:rFonts w:ascii="Gill Sans" w:eastAsia="Gill Sans" w:hAnsi="Gill Sans" w:cs="Gill Sans"/>
          <w:color w:val="1F497D"/>
        </w:rPr>
      </w:pPr>
    </w:p>
    <w:p w14:paraId="10355161" w14:textId="77777777" w:rsidR="00923C67" w:rsidRDefault="007504A4">
      <w:pPr>
        <w:spacing w:after="0" w:line="240" w:lineRule="auto"/>
        <w:jc w:val="both"/>
        <w:rPr>
          <w:rFonts w:ascii="Gill Sans" w:eastAsia="Gill Sans" w:hAnsi="Gill Sans" w:cs="Gill Sans"/>
          <w:color w:val="1F497D"/>
        </w:rPr>
      </w:pPr>
      <w:r>
        <w:rPr>
          <w:rFonts w:ascii="Gill Sans" w:eastAsia="Gill Sans" w:hAnsi="Gill Sans" w:cs="Gill Sans"/>
          <w:b/>
          <w:color w:val="1F497D"/>
        </w:rPr>
        <w:t>ECO111 Fundamentals of Economics I (3-0-0-3-7)</w:t>
      </w:r>
    </w:p>
    <w:p w14:paraId="687F9DB9" w14:textId="77777777" w:rsidR="00923C67" w:rsidRDefault="007504A4">
      <w:pPr>
        <w:spacing w:after="0" w:line="240" w:lineRule="auto"/>
        <w:jc w:val="both"/>
        <w:rPr>
          <w:rFonts w:ascii="Gill Sans" w:eastAsia="Gill Sans" w:hAnsi="Gill Sans" w:cs="Gill Sans"/>
          <w:color w:val="1F497D"/>
        </w:rPr>
      </w:pPr>
      <w:r>
        <w:rPr>
          <w:rFonts w:ascii="Gill Sans" w:eastAsia="Gill Sans" w:hAnsi="Gill Sans" w:cs="Gill Sans"/>
          <w:color w:val="1F497D"/>
        </w:rPr>
        <w:t>Role of consumers, firms, and workers as economic actors; nature of economic interaction and dealings; economic choice and constraints; consumer theory and demand; theory of the firm: production, costs and supply; general equilibrium; market structures; market failures; imperfect information; welfare; examples from the World and Turkey.</w:t>
      </w:r>
    </w:p>
    <w:p w14:paraId="02D2B7D9" w14:textId="77777777" w:rsidR="00923C67" w:rsidRDefault="00923C67">
      <w:pPr>
        <w:spacing w:after="0" w:line="240" w:lineRule="auto"/>
        <w:jc w:val="both"/>
        <w:rPr>
          <w:rFonts w:ascii="Gill Sans" w:eastAsia="Gill Sans" w:hAnsi="Gill Sans" w:cs="Gill Sans"/>
          <w:b/>
          <w:color w:val="1F497D"/>
        </w:rPr>
      </w:pPr>
    </w:p>
    <w:p w14:paraId="68E3BA0D" w14:textId="77777777" w:rsidR="00923C67" w:rsidRDefault="007504A4">
      <w:pPr>
        <w:spacing w:after="0" w:line="240" w:lineRule="auto"/>
        <w:jc w:val="both"/>
        <w:rPr>
          <w:rFonts w:ascii="Gill Sans" w:eastAsia="Gill Sans" w:hAnsi="Gill Sans" w:cs="Gill Sans"/>
          <w:b/>
          <w:color w:val="1F497D"/>
        </w:rPr>
      </w:pPr>
      <w:r>
        <w:rPr>
          <w:rFonts w:ascii="Gill Sans" w:eastAsia="Gill Sans" w:hAnsi="Gill Sans" w:cs="Gill Sans"/>
          <w:b/>
          <w:color w:val="1F497D"/>
        </w:rPr>
        <w:t>ECO112 Fundamentals of Economics II (3-0-0-3-7)</w:t>
      </w:r>
    </w:p>
    <w:p w14:paraId="036563BD" w14:textId="77777777" w:rsidR="00923C67" w:rsidRDefault="007504A4">
      <w:pPr>
        <w:spacing w:after="0" w:line="240" w:lineRule="auto"/>
        <w:jc w:val="both"/>
        <w:rPr>
          <w:rFonts w:ascii="Gill Sans" w:eastAsia="Gill Sans" w:hAnsi="Gill Sans" w:cs="Gill Sans"/>
          <w:color w:val="1F497D"/>
        </w:rPr>
      </w:pPr>
      <w:r>
        <w:rPr>
          <w:rFonts w:ascii="Gill Sans" w:eastAsia="Gill Sans" w:hAnsi="Gill Sans" w:cs="Gill Sans"/>
          <w:color w:val="1F497D"/>
        </w:rPr>
        <w:t>Concepts of accounting and determination of national income; classical and Keynesian theories of output and employment; determination of national savings, investment and consumption; theories of economic growth and development; balance of payments, exchange rate systems, trade and financial flows; monetary and fiscal policy; inflation and anti- inflationary policies; examples from the Global and Turkish economy and macroeconomic indicators.</w:t>
      </w:r>
    </w:p>
    <w:p w14:paraId="63AFFA10" w14:textId="77777777" w:rsidR="00923C67" w:rsidRDefault="00923C67">
      <w:pPr>
        <w:spacing w:after="0" w:line="240" w:lineRule="auto"/>
        <w:jc w:val="both"/>
        <w:rPr>
          <w:rFonts w:ascii="Gill Sans" w:eastAsia="Gill Sans" w:hAnsi="Gill Sans" w:cs="Gill Sans"/>
          <w:color w:val="1F497D"/>
        </w:rPr>
      </w:pPr>
    </w:p>
    <w:p w14:paraId="71191EB0" w14:textId="77777777" w:rsidR="00923C67" w:rsidRDefault="007504A4">
      <w:pPr>
        <w:spacing w:after="0" w:line="240" w:lineRule="auto"/>
        <w:jc w:val="both"/>
        <w:rPr>
          <w:rFonts w:ascii="Gill Sans" w:eastAsia="Gill Sans" w:hAnsi="Gill Sans" w:cs="Gill Sans"/>
          <w:b/>
          <w:color w:val="1F497D"/>
        </w:rPr>
      </w:pPr>
      <w:r>
        <w:rPr>
          <w:rFonts w:ascii="Gill Sans" w:eastAsia="Gill Sans" w:hAnsi="Gill Sans" w:cs="Gill Sans"/>
          <w:b/>
          <w:color w:val="1F497D"/>
        </w:rPr>
        <w:t>CLP001 Career and Life Planning (0-3-0-1-3)</w:t>
      </w:r>
    </w:p>
    <w:p w14:paraId="6BBB2ED6" w14:textId="77777777" w:rsidR="00923C67" w:rsidRDefault="007504A4">
      <w:pPr>
        <w:spacing w:after="0" w:line="240" w:lineRule="auto"/>
        <w:jc w:val="both"/>
        <w:rPr>
          <w:rFonts w:ascii="Gill Sans" w:eastAsia="Gill Sans" w:hAnsi="Gill Sans" w:cs="Gill Sans"/>
          <w:color w:val="1F497D"/>
        </w:rPr>
      </w:pPr>
      <w:r>
        <w:rPr>
          <w:rFonts w:ascii="Gill Sans" w:eastAsia="Gill Sans" w:hAnsi="Gill Sans" w:cs="Gill Sans"/>
          <w:color w:val="1F497D"/>
        </w:rPr>
        <w:t>Professional and personal development; seminars; social, sportive, and cultural activities; the dynamics of university life; actions to be taken for getting ready to business world before graduation; setting goals; skills and competencies to be improved for getting ready to business world; creating personal vision; taking initiative to accomplish an objective; personal image as a university student; communication; stress management.</w:t>
      </w:r>
    </w:p>
    <w:p w14:paraId="0700ACF9" w14:textId="77777777" w:rsidR="00923C67" w:rsidRDefault="00923C67">
      <w:pPr>
        <w:spacing w:after="0" w:line="240" w:lineRule="auto"/>
        <w:jc w:val="both"/>
        <w:rPr>
          <w:rFonts w:ascii="Gill Sans" w:eastAsia="Gill Sans" w:hAnsi="Gill Sans" w:cs="Gill Sans"/>
          <w:color w:val="1F497D"/>
        </w:rPr>
      </w:pPr>
    </w:p>
    <w:p w14:paraId="3FF88F38" w14:textId="77777777" w:rsidR="00923C67" w:rsidRDefault="007504A4">
      <w:pPr>
        <w:spacing w:after="0"/>
        <w:jc w:val="both"/>
        <w:rPr>
          <w:rFonts w:ascii="Gill Sans" w:eastAsia="Gill Sans" w:hAnsi="Gill Sans" w:cs="Gill Sans"/>
          <w:b/>
          <w:color w:val="1F497D"/>
        </w:rPr>
      </w:pPr>
      <w:r>
        <w:rPr>
          <w:rFonts w:ascii="Gill Sans" w:eastAsia="Gill Sans" w:hAnsi="Gill Sans" w:cs="Gill Sans"/>
          <w:b/>
          <w:color w:val="1F497D"/>
        </w:rPr>
        <w:t xml:space="preserve">BBA101 Introduction to Business (3-0-0-3-7) </w:t>
      </w:r>
    </w:p>
    <w:p w14:paraId="3D9B2B1D" w14:textId="1363B26A" w:rsidR="00923C67" w:rsidRDefault="007504A4">
      <w:pPr>
        <w:spacing w:after="0"/>
        <w:jc w:val="both"/>
        <w:rPr>
          <w:rFonts w:ascii="Gill Sans" w:eastAsia="Gill Sans" w:hAnsi="Gill Sans" w:cs="Gill Sans"/>
          <w:color w:val="1F497D"/>
        </w:rPr>
      </w:pPr>
      <w:r>
        <w:rPr>
          <w:rFonts w:ascii="Gill Sans" w:eastAsia="Gill Sans" w:hAnsi="Gill Sans" w:cs="Gill Sans"/>
          <w:color w:val="1F497D"/>
        </w:rPr>
        <w:t>Definition of business; business administration functions; formation of a business unit; business in global markets; general management in business; human resource management in business; accounting and financial activities in business; operations management in business; marketing management in business; business and economics; social responsibility, ethics and law in business; new developments in business.</w:t>
      </w:r>
    </w:p>
    <w:p w14:paraId="04D1D43A" w14:textId="77777777" w:rsidR="00923C67" w:rsidRDefault="00923C67">
      <w:pPr>
        <w:spacing w:after="0"/>
        <w:jc w:val="both"/>
        <w:rPr>
          <w:rFonts w:ascii="Gill Sans" w:eastAsia="Gill Sans" w:hAnsi="Gill Sans" w:cs="Gill Sans"/>
          <w:b/>
          <w:color w:val="1F497D"/>
        </w:rPr>
      </w:pPr>
    </w:p>
    <w:p w14:paraId="00C75CA3" w14:textId="77777777" w:rsidR="00923C67" w:rsidRDefault="007504A4">
      <w:pPr>
        <w:spacing w:after="0"/>
        <w:jc w:val="both"/>
        <w:rPr>
          <w:rFonts w:ascii="Gill Sans" w:eastAsia="Gill Sans" w:hAnsi="Gill Sans" w:cs="Gill Sans"/>
          <w:b/>
          <w:color w:val="1F497D"/>
        </w:rPr>
      </w:pPr>
      <w:r>
        <w:rPr>
          <w:rFonts w:ascii="Gill Sans" w:eastAsia="Gill Sans" w:hAnsi="Gill Sans" w:cs="Gill Sans"/>
          <w:b/>
          <w:color w:val="1F497D"/>
        </w:rPr>
        <w:t>BBA104 Management and Organization (3-0-0-3-8)</w:t>
      </w:r>
    </w:p>
    <w:p w14:paraId="7B398917" w14:textId="77777777" w:rsidR="00923C67" w:rsidRDefault="007504A4">
      <w:pPr>
        <w:spacing w:after="0"/>
        <w:jc w:val="both"/>
        <w:rPr>
          <w:rFonts w:ascii="Gill Sans" w:eastAsia="Gill Sans" w:hAnsi="Gill Sans" w:cs="Gill Sans"/>
          <w:color w:val="1F497D"/>
        </w:rPr>
      </w:pPr>
      <w:r>
        <w:rPr>
          <w:rFonts w:ascii="Gill Sans" w:eastAsia="Gill Sans" w:hAnsi="Gill Sans" w:cs="Gill Sans"/>
          <w:color w:val="1F497D"/>
        </w:rPr>
        <w:t>Basic concepts; models; and theories of management and organization; evolution of management thought; four functions of management: planning, organizing; leading; and controlling; organizational structure; design; organization’s internal systems; organization and its environment; organizational fit; organizational culture; organizational performance; social responsibility and ethics; managerial decision making; early and contemporary leadership theories and applications.</w:t>
      </w:r>
    </w:p>
    <w:p w14:paraId="52BDE1A2" w14:textId="77777777" w:rsidR="00923C67" w:rsidRDefault="007504A4">
      <w:pPr>
        <w:spacing w:after="0"/>
        <w:jc w:val="both"/>
        <w:rPr>
          <w:rFonts w:ascii="Gill Sans" w:eastAsia="Gill Sans" w:hAnsi="Gill Sans" w:cs="Gill Sans"/>
          <w:b/>
          <w:color w:val="1F497D"/>
        </w:rPr>
      </w:pPr>
      <w:r>
        <w:rPr>
          <w:rFonts w:ascii="Gill Sans" w:eastAsia="Gill Sans" w:hAnsi="Gill Sans" w:cs="Gill Sans"/>
          <w:b/>
          <w:color w:val="1F497D"/>
        </w:rPr>
        <w:lastRenderedPageBreak/>
        <w:t>BBA179 Business Mathematics (4-0-0-4-8)</w:t>
      </w:r>
    </w:p>
    <w:p w14:paraId="5985E568" w14:textId="77777777" w:rsidR="00923C67" w:rsidRDefault="007504A4">
      <w:pPr>
        <w:spacing w:after="0"/>
        <w:jc w:val="both"/>
        <w:rPr>
          <w:rFonts w:ascii="Gill Sans" w:eastAsia="Gill Sans" w:hAnsi="Gill Sans" w:cs="Gill Sans"/>
          <w:color w:val="1F497D"/>
        </w:rPr>
      </w:pPr>
      <w:r>
        <w:rPr>
          <w:rFonts w:ascii="Gill Sans" w:eastAsia="Gill Sans" w:hAnsi="Gill Sans" w:cs="Gill Sans"/>
          <w:color w:val="1F497D"/>
        </w:rPr>
        <w:t>First and second order equations and inequalities; graphs in rectangular coordinates; concept of function; applications of functions; exponential and logarithmic functions and their applications; limits and continuity; differentiation; derivatives of logarithmic and exponential functions; Lagrange multiplier; partial derivatives; integration; definite integral.</w:t>
      </w:r>
    </w:p>
    <w:p w14:paraId="00BEB3A8" w14:textId="77777777" w:rsidR="00923C67" w:rsidRDefault="00923C67">
      <w:pPr>
        <w:spacing w:after="0"/>
        <w:jc w:val="both"/>
        <w:rPr>
          <w:rFonts w:ascii="Gill Sans" w:eastAsia="Gill Sans" w:hAnsi="Gill Sans" w:cs="Gill Sans"/>
          <w:b/>
          <w:color w:val="1F497D"/>
        </w:rPr>
      </w:pPr>
    </w:p>
    <w:p w14:paraId="2EFEE496" w14:textId="77777777" w:rsidR="00923C67" w:rsidRDefault="007504A4">
      <w:pPr>
        <w:spacing w:after="0"/>
        <w:jc w:val="both"/>
        <w:rPr>
          <w:rFonts w:ascii="Gill Sans" w:eastAsia="Gill Sans" w:hAnsi="Gill Sans" w:cs="Gill Sans"/>
          <w:b/>
          <w:color w:val="1F497D"/>
        </w:rPr>
      </w:pPr>
      <w:r>
        <w:rPr>
          <w:rFonts w:ascii="Gill Sans" w:eastAsia="Gill Sans" w:hAnsi="Gill Sans" w:cs="Gill Sans"/>
          <w:b/>
          <w:color w:val="1F497D"/>
        </w:rPr>
        <w:t xml:space="preserve">BBA182 Applied Statistics (3-0-0-3-8)                                                                                                                         </w:t>
      </w:r>
    </w:p>
    <w:p w14:paraId="03941CF3" w14:textId="53FBB623" w:rsidR="00923C67" w:rsidRDefault="007504A4">
      <w:pPr>
        <w:spacing w:after="0"/>
        <w:jc w:val="both"/>
        <w:rPr>
          <w:rFonts w:ascii="Gill Sans" w:eastAsia="Gill Sans" w:hAnsi="Gill Sans" w:cs="Gill Sans"/>
          <w:color w:val="1F497D"/>
        </w:rPr>
      </w:pPr>
      <w:r>
        <w:rPr>
          <w:rFonts w:ascii="Gill Sans" w:eastAsia="Gill Sans" w:hAnsi="Gill Sans" w:cs="Gill Sans"/>
          <w:color w:val="1F497D"/>
        </w:rPr>
        <w:t>Measures of central tendency (mean, median, mode, range); measures of dispersion (variance, standard deviation); histogram; diagrams, charts and plots, distinguishing between sample and the population; probability; permutation; combination; probability rules; bivariate probability, joint probability; conditional probability; Bayes’ theorem, discrete and continuous variables and probability distributions (binomial, Poisson, exponential distributions); expected  value; sampling and sampling distribution (sampling distribution of the sample mean and sample proportion); point  estimation; confidence interval; hypothesis testing (z, student’s t, F and Chi-square distributions); linear correlation; population and sample correlation coefficient.</w:t>
      </w:r>
    </w:p>
    <w:p w14:paraId="7A872EE8" w14:textId="77777777" w:rsidR="000D7453" w:rsidRDefault="000D7453">
      <w:pPr>
        <w:spacing w:after="0"/>
        <w:jc w:val="both"/>
        <w:rPr>
          <w:rFonts w:ascii="Gill Sans" w:eastAsia="Gill Sans" w:hAnsi="Gill Sans" w:cs="Gill Sans"/>
          <w:color w:val="1F497D"/>
        </w:rPr>
      </w:pPr>
    </w:p>
    <w:p w14:paraId="642735B5" w14:textId="77777777" w:rsidR="00923C67" w:rsidRDefault="007504A4">
      <w:pPr>
        <w:spacing w:after="0"/>
        <w:jc w:val="both"/>
        <w:rPr>
          <w:rFonts w:ascii="Gill Sans" w:eastAsia="Gill Sans" w:hAnsi="Gill Sans" w:cs="Gill Sans"/>
          <w:color w:val="1F497D"/>
        </w:rPr>
      </w:pPr>
      <w:r>
        <w:rPr>
          <w:rFonts w:ascii="Gill Sans" w:eastAsia="Gill Sans" w:hAnsi="Gill Sans" w:cs="Gill Sans"/>
          <w:b/>
          <w:color w:val="1F497D"/>
        </w:rPr>
        <w:t>ILOG213 Logistics Management (3-0-0-3-6)</w:t>
      </w:r>
    </w:p>
    <w:p w14:paraId="4F445561" w14:textId="77777777" w:rsidR="00923C67" w:rsidRDefault="007504A4">
      <w:pPr>
        <w:spacing w:after="0" w:line="240" w:lineRule="auto"/>
        <w:jc w:val="both"/>
        <w:rPr>
          <w:rFonts w:ascii="Gill Sans" w:eastAsia="Gill Sans" w:hAnsi="Gill Sans" w:cs="Gill Sans"/>
          <w:color w:val="1F497D"/>
        </w:rPr>
      </w:pPr>
      <w:r>
        <w:rPr>
          <w:rFonts w:ascii="Gill Sans" w:eastAsia="Gill Sans" w:hAnsi="Gill Sans" w:cs="Gill Sans"/>
          <w:color w:val="1F497D"/>
        </w:rPr>
        <w:t>Fundamentals of logistics, functions, processes and objectives of the logistics operation, logistics terminology, design of channels for distribution, information flows, facility locations, outsourcing, risks and possible disruptions in logistics, KPIs in logistics, laws and regulations related with logistics, systems approach to the management of logistics activities.</w:t>
      </w:r>
    </w:p>
    <w:p w14:paraId="0B8C4CB3" w14:textId="77777777" w:rsidR="00923C67" w:rsidRDefault="00923C67">
      <w:pPr>
        <w:spacing w:after="0" w:line="240" w:lineRule="auto"/>
        <w:jc w:val="both"/>
        <w:rPr>
          <w:rFonts w:ascii="Gill Sans" w:eastAsia="Gill Sans" w:hAnsi="Gill Sans" w:cs="Gill Sans"/>
          <w:color w:val="1F497D"/>
        </w:rPr>
      </w:pPr>
    </w:p>
    <w:p w14:paraId="20671611" w14:textId="77777777" w:rsidR="00923C67" w:rsidRDefault="007504A4">
      <w:pPr>
        <w:spacing w:after="0" w:line="240" w:lineRule="auto"/>
        <w:jc w:val="both"/>
        <w:rPr>
          <w:rFonts w:ascii="Gill Sans" w:eastAsia="Gill Sans" w:hAnsi="Gill Sans" w:cs="Gill Sans"/>
          <w:b/>
          <w:color w:val="1F497D"/>
        </w:rPr>
      </w:pPr>
      <w:r>
        <w:rPr>
          <w:rFonts w:ascii="Gill Sans" w:eastAsia="Gill Sans" w:hAnsi="Gill Sans" w:cs="Gill Sans"/>
          <w:b/>
          <w:color w:val="1F497D"/>
        </w:rPr>
        <w:t>ILOG214 Intermodal Transportation (3-0-0-3-6)</w:t>
      </w:r>
    </w:p>
    <w:p w14:paraId="2DC65601" w14:textId="77777777" w:rsidR="00923C67" w:rsidRDefault="007504A4">
      <w:pPr>
        <w:spacing w:after="0" w:line="240" w:lineRule="auto"/>
        <w:jc w:val="both"/>
        <w:rPr>
          <w:rFonts w:ascii="Gill Sans" w:eastAsia="Gill Sans" w:hAnsi="Gill Sans" w:cs="Gill Sans"/>
          <w:color w:val="1F497D"/>
        </w:rPr>
      </w:pPr>
      <w:r>
        <w:rPr>
          <w:rFonts w:ascii="Gill Sans" w:eastAsia="Gill Sans" w:hAnsi="Gill Sans" w:cs="Gill Sans"/>
          <w:color w:val="1F497D"/>
        </w:rPr>
        <w:t xml:space="preserve">Introduction to intermodal transportation system, global transportation corridors, global logistics and transportation infrastructure, container-related transportation activities, multi-modal freight operations, international road-maritime-air and rail transportation related with intermodal transportation, decision support tools for real-time intermodal transportation systems. </w:t>
      </w:r>
    </w:p>
    <w:p w14:paraId="2CDE374F" w14:textId="77777777" w:rsidR="00923C67" w:rsidRDefault="00923C67">
      <w:pPr>
        <w:spacing w:after="0" w:line="240" w:lineRule="auto"/>
        <w:jc w:val="both"/>
        <w:rPr>
          <w:rFonts w:ascii="Gill Sans" w:eastAsia="Gill Sans" w:hAnsi="Gill Sans" w:cs="Gill Sans"/>
          <w:color w:val="1F497D"/>
        </w:rPr>
      </w:pPr>
    </w:p>
    <w:p w14:paraId="63FCAE75" w14:textId="77777777" w:rsidR="00923C67" w:rsidRDefault="007504A4">
      <w:pPr>
        <w:spacing w:after="0" w:line="240" w:lineRule="auto"/>
        <w:jc w:val="both"/>
        <w:rPr>
          <w:rFonts w:ascii="Gill Sans" w:eastAsia="Gill Sans" w:hAnsi="Gill Sans" w:cs="Gill Sans"/>
          <w:b/>
          <w:color w:val="1F497D"/>
        </w:rPr>
      </w:pPr>
      <w:r>
        <w:rPr>
          <w:rFonts w:ascii="Gill Sans" w:eastAsia="Gill Sans" w:hAnsi="Gill Sans" w:cs="Gill Sans"/>
          <w:b/>
          <w:color w:val="1F497D"/>
        </w:rPr>
        <w:t>ILOG215 Logistics Marketing Strategies (3-0-0-3-6)</w:t>
      </w:r>
    </w:p>
    <w:p w14:paraId="6FBDB9C2" w14:textId="77777777" w:rsidR="00923C67" w:rsidRDefault="007504A4">
      <w:pPr>
        <w:spacing w:after="0" w:line="240" w:lineRule="auto"/>
        <w:jc w:val="both"/>
        <w:rPr>
          <w:rFonts w:ascii="Gill Sans" w:eastAsia="Gill Sans" w:hAnsi="Gill Sans" w:cs="Gill Sans"/>
          <w:color w:val="1F497D"/>
        </w:rPr>
      </w:pPr>
      <w:r>
        <w:rPr>
          <w:rFonts w:ascii="Gill Sans" w:eastAsia="Gill Sans" w:hAnsi="Gill Sans" w:cs="Gill Sans"/>
          <w:color w:val="1F497D"/>
        </w:rPr>
        <w:t>Services provided for customers in logistics processes have a crucial place among other marketing tools as a multidimensional logistics effect. This course covers theoretical and case studies for logistics businesses within the framework of logistics marketing strategy with tools such as product policy, price and promotion.</w:t>
      </w:r>
    </w:p>
    <w:p w14:paraId="5C8C3FF6" w14:textId="77777777" w:rsidR="00923C67" w:rsidRDefault="00923C67">
      <w:pPr>
        <w:spacing w:after="0" w:line="240" w:lineRule="auto"/>
        <w:jc w:val="both"/>
        <w:rPr>
          <w:rFonts w:ascii="Gill Sans" w:eastAsia="Gill Sans" w:hAnsi="Gill Sans" w:cs="Gill Sans"/>
          <w:b/>
          <w:color w:val="1F497D"/>
        </w:rPr>
      </w:pPr>
    </w:p>
    <w:p w14:paraId="0B7E9D35" w14:textId="77777777" w:rsidR="00923C67" w:rsidRDefault="007504A4">
      <w:pPr>
        <w:spacing w:after="0" w:line="240" w:lineRule="auto"/>
        <w:jc w:val="both"/>
        <w:rPr>
          <w:rFonts w:ascii="Gill Sans" w:eastAsia="Gill Sans" w:hAnsi="Gill Sans" w:cs="Gill Sans"/>
          <w:b/>
          <w:color w:val="1F497D"/>
        </w:rPr>
      </w:pPr>
      <w:r>
        <w:rPr>
          <w:rFonts w:ascii="Gill Sans" w:eastAsia="Gill Sans" w:hAnsi="Gill Sans" w:cs="Gill Sans"/>
          <w:b/>
          <w:color w:val="1F497D"/>
        </w:rPr>
        <w:t>ILOG223 Transportation Management (3-0-0-3-6)</w:t>
      </w:r>
    </w:p>
    <w:p w14:paraId="1361AFC1" w14:textId="77777777" w:rsidR="00923C67" w:rsidRDefault="007504A4">
      <w:pPr>
        <w:spacing w:after="0" w:line="240" w:lineRule="auto"/>
        <w:jc w:val="both"/>
        <w:rPr>
          <w:rFonts w:ascii="Gill Sans" w:eastAsia="Gill Sans" w:hAnsi="Gill Sans" w:cs="Gill Sans"/>
          <w:color w:val="1F497D"/>
        </w:rPr>
      </w:pPr>
      <w:r>
        <w:rPr>
          <w:rFonts w:ascii="Gill Sans" w:eastAsia="Gill Sans" w:hAnsi="Gill Sans" w:cs="Gill Sans"/>
          <w:color w:val="1F497D"/>
        </w:rPr>
        <w:t>Introduction to transportation and distribution management, understanding of transport, inventory and distribution systems supported with real business case studies, discussing how products and services are delivered to the customers effectively. Information technology concepts related to routing to gain a competitive advantage of the company, comparison of five transport modes, basic systems of five transportation modes.</w:t>
      </w:r>
    </w:p>
    <w:p w14:paraId="25A04D1E" w14:textId="77777777" w:rsidR="00923C67" w:rsidRDefault="00923C67">
      <w:pPr>
        <w:spacing w:after="0" w:line="240" w:lineRule="auto"/>
        <w:jc w:val="both"/>
        <w:rPr>
          <w:rFonts w:ascii="Gill Sans" w:eastAsia="Gill Sans" w:hAnsi="Gill Sans" w:cs="Gill Sans"/>
          <w:color w:val="1F497D"/>
        </w:rPr>
      </w:pPr>
    </w:p>
    <w:p w14:paraId="11BB2EC0" w14:textId="77777777" w:rsidR="00923C67" w:rsidRDefault="007504A4">
      <w:pPr>
        <w:spacing w:after="0" w:line="240" w:lineRule="auto"/>
        <w:jc w:val="both"/>
        <w:rPr>
          <w:rFonts w:ascii="Gill Sans" w:eastAsia="Gill Sans" w:hAnsi="Gill Sans" w:cs="Gill Sans"/>
          <w:b/>
          <w:color w:val="1F497D"/>
        </w:rPr>
      </w:pPr>
      <w:r>
        <w:rPr>
          <w:rFonts w:ascii="Gill Sans" w:eastAsia="Gill Sans" w:hAnsi="Gill Sans" w:cs="Gill Sans"/>
          <w:b/>
          <w:color w:val="1F497D"/>
        </w:rPr>
        <w:t>ILOG315 Procurement (3-0-0-3-6)</w:t>
      </w:r>
    </w:p>
    <w:p w14:paraId="54FD2DBA" w14:textId="77777777" w:rsidR="00923C67" w:rsidRDefault="007504A4">
      <w:pPr>
        <w:spacing w:after="0" w:line="240" w:lineRule="auto"/>
        <w:jc w:val="both"/>
        <w:rPr>
          <w:rFonts w:ascii="Gill Sans" w:eastAsia="Gill Sans" w:hAnsi="Gill Sans" w:cs="Gill Sans"/>
          <w:color w:val="1F497D"/>
        </w:rPr>
      </w:pPr>
      <w:r>
        <w:rPr>
          <w:rFonts w:ascii="Gill Sans" w:eastAsia="Gill Sans" w:hAnsi="Gill Sans" w:cs="Gill Sans"/>
          <w:color w:val="1F497D"/>
        </w:rPr>
        <w:t xml:space="preserve">Strategic issues in procurement and supply management, purchasing process, procurement cycle, price and availability check, supplier relations management, negotiation and conflict resolution, product planning, cost, price, and value analysis, solicitation management; sourcing, supplier </w:t>
      </w:r>
      <w:r>
        <w:rPr>
          <w:rFonts w:ascii="Gill Sans" w:eastAsia="Gill Sans" w:hAnsi="Gill Sans" w:cs="Gill Sans"/>
          <w:color w:val="1F497D"/>
        </w:rPr>
        <w:lastRenderedPageBreak/>
        <w:t>selection and evaluation, e-sourcing, quality standards, purchasing price, total cost of ownership, contract preparation and management; delivery and inspection; contract termination; discrepancy resolution; payment models.</w:t>
      </w:r>
    </w:p>
    <w:p w14:paraId="0FD01855" w14:textId="77777777" w:rsidR="00923C67" w:rsidRDefault="00923C67">
      <w:pPr>
        <w:spacing w:after="0" w:line="240" w:lineRule="auto"/>
        <w:jc w:val="both"/>
        <w:rPr>
          <w:rFonts w:ascii="Gill Sans" w:eastAsia="Gill Sans" w:hAnsi="Gill Sans" w:cs="Gill Sans"/>
          <w:color w:val="1F497D"/>
        </w:rPr>
      </w:pPr>
    </w:p>
    <w:p w14:paraId="3D422D9A" w14:textId="77777777" w:rsidR="00923C67" w:rsidRDefault="007504A4">
      <w:pPr>
        <w:spacing w:after="0" w:line="240" w:lineRule="auto"/>
        <w:jc w:val="both"/>
        <w:rPr>
          <w:rFonts w:ascii="Gill Sans" w:eastAsia="Gill Sans" w:hAnsi="Gill Sans" w:cs="Gill Sans"/>
          <w:b/>
          <w:color w:val="1F497D"/>
        </w:rPr>
      </w:pPr>
      <w:r>
        <w:rPr>
          <w:rFonts w:ascii="Gill Sans" w:eastAsia="Gill Sans" w:hAnsi="Gill Sans" w:cs="Gill Sans"/>
          <w:b/>
          <w:color w:val="1F497D"/>
        </w:rPr>
        <w:t>ILOG316 Inventory and Warehouse Management (3-0-0-3-6)</w:t>
      </w:r>
    </w:p>
    <w:p w14:paraId="2EDC33AE" w14:textId="77777777" w:rsidR="00923C67" w:rsidRDefault="007504A4">
      <w:pPr>
        <w:spacing w:after="0" w:line="240" w:lineRule="auto"/>
        <w:jc w:val="both"/>
        <w:rPr>
          <w:rFonts w:ascii="Gill Sans" w:eastAsia="Gill Sans" w:hAnsi="Gill Sans" w:cs="Gill Sans"/>
          <w:color w:val="1F497D"/>
        </w:rPr>
      </w:pPr>
      <w:r>
        <w:rPr>
          <w:rFonts w:ascii="Gill Sans" w:eastAsia="Gill Sans" w:hAnsi="Gill Sans" w:cs="Gill Sans"/>
          <w:color w:val="1F497D"/>
        </w:rPr>
        <w:t>Introduction to inventory analysis, demand management, cost concepts, inventory valuation, inventory profit relationship, activity-based decisions, demand forecasting, safety stock calculation, material requirements planning, master production scheduling, distribution management, distribution resource planning, purchasing management, and inventory management organization,  high-tech automated warehousing and order delivery, describing the usage of the inventory models, the factors that affect the calculation of order quantity and levels, optimum stock levels and inventory classification methods; Industry 4.0.</w:t>
      </w:r>
    </w:p>
    <w:p w14:paraId="50B75FAB" w14:textId="77777777" w:rsidR="00923C67" w:rsidRDefault="00923C67">
      <w:pPr>
        <w:spacing w:after="0" w:line="240" w:lineRule="auto"/>
        <w:jc w:val="both"/>
        <w:rPr>
          <w:rFonts w:ascii="Gill Sans" w:eastAsia="Gill Sans" w:hAnsi="Gill Sans" w:cs="Gill Sans"/>
          <w:color w:val="1F497D"/>
        </w:rPr>
      </w:pPr>
    </w:p>
    <w:p w14:paraId="25DE0B93" w14:textId="77777777" w:rsidR="00923C67" w:rsidRDefault="007504A4">
      <w:pPr>
        <w:spacing w:after="0" w:line="240" w:lineRule="auto"/>
        <w:jc w:val="both"/>
        <w:rPr>
          <w:rFonts w:ascii="Gill Sans" w:eastAsia="Gill Sans" w:hAnsi="Gill Sans" w:cs="Gill Sans"/>
          <w:b/>
          <w:color w:val="1F497D"/>
        </w:rPr>
      </w:pPr>
      <w:r>
        <w:rPr>
          <w:rFonts w:ascii="Gill Sans" w:eastAsia="Gill Sans" w:hAnsi="Gill Sans" w:cs="Gill Sans"/>
          <w:b/>
          <w:color w:val="1F497D"/>
        </w:rPr>
        <w:t>ILOG326 City Logistics (3-0-0-3-7)</w:t>
      </w:r>
    </w:p>
    <w:p w14:paraId="526EC1D2" w14:textId="77777777" w:rsidR="00923C67" w:rsidRDefault="007504A4">
      <w:pPr>
        <w:spacing w:after="0" w:line="240" w:lineRule="auto"/>
        <w:jc w:val="both"/>
        <w:rPr>
          <w:rFonts w:ascii="Gill Sans" w:eastAsia="Gill Sans" w:hAnsi="Gill Sans" w:cs="Gill Sans"/>
          <w:color w:val="1F497D"/>
        </w:rPr>
      </w:pPr>
      <w:r>
        <w:rPr>
          <w:rFonts w:ascii="Gill Sans" w:eastAsia="Gill Sans" w:hAnsi="Gill Sans" w:cs="Gill Sans"/>
          <w:color w:val="1F497D"/>
        </w:rPr>
        <w:t xml:space="preserve">Planning and management of city logistics; components of city logistics and in-city passenger and freight transportation systems; efficiency; environmental impact; congestion and sustainability issues of city logistics. </w:t>
      </w:r>
    </w:p>
    <w:p w14:paraId="7E0E70B3" w14:textId="77777777" w:rsidR="00923C67" w:rsidRDefault="00923C67">
      <w:pPr>
        <w:spacing w:after="0" w:line="240" w:lineRule="auto"/>
        <w:jc w:val="both"/>
        <w:rPr>
          <w:rFonts w:ascii="Gill Sans" w:eastAsia="Gill Sans" w:hAnsi="Gill Sans" w:cs="Gill Sans"/>
          <w:color w:val="1F497D"/>
        </w:rPr>
      </w:pPr>
    </w:p>
    <w:p w14:paraId="0B0673F3" w14:textId="77777777" w:rsidR="00923C67" w:rsidRDefault="007504A4">
      <w:pPr>
        <w:spacing w:after="0" w:line="240" w:lineRule="auto"/>
        <w:jc w:val="both"/>
        <w:rPr>
          <w:rFonts w:ascii="Gill Sans" w:eastAsia="Gill Sans" w:hAnsi="Gill Sans" w:cs="Gill Sans"/>
          <w:color w:val="1F497D"/>
        </w:rPr>
      </w:pPr>
      <w:r>
        <w:rPr>
          <w:rFonts w:ascii="Gill Sans" w:eastAsia="Gill Sans" w:hAnsi="Gill Sans" w:cs="Gill Sans"/>
          <w:b/>
          <w:color w:val="1F497D"/>
        </w:rPr>
        <w:t>ILOG336 Production and Operations Management (3-0-0-3-6)</w:t>
      </w:r>
    </w:p>
    <w:p w14:paraId="119ADA91" w14:textId="0DD74B6F" w:rsidR="00923C67" w:rsidRDefault="007504A4">
      <w:pPr>
        <w:spacing w:after="0" w:line="240" w:lineRule="auto"/>
        <w:jc w:val="both"/>
        <w:rPr>
          <w:rFonts w:ascii="Gill Sans" w:eastAsia="Gill Sans" w:hAnsi="Gill Sans" w:cs="Gill Sans"/>
          <w:color w:val="1F497D"/>
        </w:rPr>
      </w:pPr>
      <w:r>
        <w:rPr>
          <w:rFonts w:ascii="Gill Sans" w:eastAsia="Gill Sans" w:hAnsi="Gill Sans" w:cs="Gill Sans"/>
          <w:color w:val="1F497D"/>
        </w:rPr>
        <w:t>Product design and analysis; capacity planning and investment decisions; production forecasting models; facility location; plant layout and materials handling; material management and inventory control; aggregate planning and master production scheduling; material requirements planning; production planning and control; single machine scheduling; flow shop scheduling and job shop scheduling; and quality control; Six Sigma and Lean Manufacturing; supply chain management; maintenance management; Industry 4.0</w:t>
      </w:r>
      <w:r w:rsidR="0042050D">
        <w:rPr>
          <w:rFonts w:ascii="Gill Sans" w:eastAsia="Gill Sans" w:hAnsi="Gill Sans" w:cs="Gill Sans"/>
          <w:color w:val="1F497D"/>
        </w:rPr>
        <w:t>.</w:t>
      </w:r>
    </w:p>
    <w:p w14:paraId="13170274" w14:textId="77777777" w:rsidR="0042050D" w:rsidRDefault="0042050D">
      <w:pPr>
        <w:spacing w:after="0" w:line="240" w:lineRule="auto"/>
        <w:jc w:val="both"/>
        <w:rPr>
          <w:rFonts w:ascii="Gill Sans" w:eastAsia="Gill Sans" w:hAnsi="Gill Sans" w:cs="Gill Sans"/>
          <w:color w:val="1F497D"/>
        </w:rPr>
      </w:pPr>
    </w:p>
    <w:p w14:paraId="7CBFA35F" w14:textId="77777777" w:rsidR="00923C67" w:rsidRDefault="007504A4">
      <w:pPr>
        <w:spacing w:after="0" w:line="240" w:lineRule="auto"/>
        <w:jc w:val="both"/>
        <w:rPr>
          <w:rFonts w:ascii="Gill Sans" w:eastAsia="Gill Sans" w:hAnsi="Gill Sans" w:cs="Gill Sans"/>
          <w:b/>
          <w:color w:val="1F497D"/>
        </w:rPr>
      </w:pPr>
      <w:r>
        <w:rPr>
          <w:rFonts w:ascii="Gill Sans" w:eastAsia="Gill Sans" w:hAnsi="Gill Sans" w:cs="Gill Sans"/>
          <w:b/>
          <w:color w:val="1F497D"/>
        </w:rPr>
        <w:t>ILOG417 Supply Chain Management (3-0-0-3-6)</w:t>
      </w:r>
    </w:p>
    <w:p w14:paraId="5EEB6447" w14:textId="77777777" w:rsidR="00923C67" w:rsidRDefault="007504A4">
      <w:pPr>
        <w:spacing w:after="0" w:line="240" w:lineRule="auto"/>
        <w:jc w:val="both"/>
        <w:rPr>
          <w:rFonts w:ascii="Gill Sans" w:eastAsia="Gill Sans" w:hAnsi="Gill Sans" w:cs="Gill Sans"/>
          <w:color w:val="1F497D"/>
        </w:rPr>
      </w:pPr>
      <w:r>
        <w:rPr>
          <w:rFonts w:ascii="Gill Sans" w:eastAsia="Gill Sans" w:hAnsi="Gill Sans" w:cs="Gill Sans"/>
          <w:color w:val="1F497D"/>
        </w:rPr>
        <w:t>SCM‘s role in the overall business strategy,  identifying the SCM-related business processes including sourcing, procurement, sales and operations planning, distribution and demand management,  problems encountered in practice and the new challenges facing SCM practitioners, managing supply chain relationships, managing risk in the supply chain, matching supply and demand, creating a sustainable supply chain, risks and facing possible disruptions in supply chains, KPIs in SCM, laws and regulations related to sustainability in the supply chain; coordination and cooperation; Industry 4.0.</w:t>
      </w:r>
    </w:p>
    <w:p w14:paraId="0772DFDF" w14:textId="77777777" w:rsidR="00923C67" w:rsidRDefault="00923C67">
      <w:pPr>
        <w:spacing w:after="0" w:line="240" w:lineRule="auto"/>
        <w:jc w:val="both"/>
        <w:rPr>
          <w:rFonts w:ascii="Gill Sans" w:eastAsia="Gill Sans" w:hAnsi="Gill Sans" w:cs="Gill Sans"/>
          <w:color w:val="1F497D"/>
        </w:rPr>
      </w:pPr>
    </w:p>
    <w:p w14:paraId="5D032CF3" w14:textId="77777777" w:rsidR="00923C67" w:rsidRDefault="007504A4">
      <w:pPr>
        <w:spacing w:after="0" w:line="240" w:lineRule="auto"/>
        <w:jc w:val="both"/>
        <w:rPr>
          <w:rFonts w:ascii="Gill Sans" w:eastAsia="Gill Sans" w:hAnsi="Gill Sans" w:cs="Gill Sans"/>
          <w:b/>
          <w:color w:val="1F497D"/>
        </w:rPr>
      </w:pPr>
      <w:r>
        <w:rPr>
          <w:rFonts w:ascii="Gill Sans" w:eastAsia="Gill Sans" w:hAnsi="Gill Sans" w:cs="Gill Sans"/>
          <w:b/>
          <w:color w:val="1F497D"/>
        </w:rPr>
        <w:t>ILOG418 Courier Transportation (3-0-0-3-6)</w:t>
      </w:r>
    </w:p>
    <w:p w14:paraId="5DE0564B" w14:textId="77777777" w:rsidR="00923C67" w:rsidRDefault="007504A4">
      <w:pPr>
        <w:spacing w:after="0" w:line="240" w:lineRule="auto"/>
        <w:jc w:val="both"/>
        <w:rPr>
          <w:rFonts w:ascii="Gill Sans" w:eastAsia="Gill Sans" w:hAnsi="Gill Sans" w:cs="Gill Sans"/>
          <w:color w:val="1F497D"/>
        </w:rPr>
      </w:pPr>
      <w:r>
        <w:rPr>
          <w:rFonts w:ascii="Gill Sans" w:eastAsia="Gill Sans" w:hAnsi="Gill Sans" w:cs="Gill Sans"/>
          <w:color w:val="1F497D"/>
        </w:rPr>
        <w:t>Technical, operational and regulatory issues of cargoes; cargo handling, distribution planning of cargo, cargo operations, tariffs and pricing cargo, fleet management, regulations of cargo operator, cargo acceptance and documentation, facility and handling equipment.</w:t>
      </w:r>
    </w:p>
    <w:p w14:paraId="025B6A4B" w14:textId="77777777" w:rsidR="00923C67" w:rsidRDefault="00923C67">
      <w:pPr>
        <w:spacing w:after="0" w:line="240" w:lineRule="auto"/>
        <w:jc w:val="both"/>
        <w:rPr>
          <w:rFonts w:ascii="Gill Sans" w:eastAsia="Gill Sans" w:hAnsi="Gill Sans" w:cs="Gill Sans"/>
          <w:color w:val="1F497D"/>
        </w:rPr>
      </w:pPr>
    </w:p>
    <w:p w14:paraId="08097A12" w14:textId="77777777" w:rsidR="00923C67" w:rsidRDefault="007504A4">
      <w:pPr>
        <w:spacing w:after="0" w:line="240" w:lineRule="auto"/>
        <w:jc w:val="both"/>
        <w:rPr>
          <w:rFonts w:ascii="Gill Sans" w:eastAsia="Gill Sans" w:hAnsi="Gill Sans" w:cs="Gill Sans"/>
          <w:b/>
          <w:color w:val="1F497D"/>
        </w:rPr>
      </w:pPr>
      <w:r>
        <w:rPr>
          <w:rFonts w:ascii="Gill Sans" w:eastAsia="Gill Sans" w:hAnsi="Gill Sans" w:cs="Gill Sans"/>
          <w:b/>
          <w:color w:val="1F497D"/>
        </w:rPr>
        <w:t>ILOG427 Sustainable Logistics (3-0-0-3-6)</w:t>
      </w:r>
    </w:p>
    <w:p w14:paraId="6E9CA834" w14:textId="77777777" w:rsidR="00923C67" w:rsidRDefault="007504A4">
      <w:pPr>
        <w:spacing w:after="0" w:line="240" w:lineRule="auto"/>
        <w:jc w:val="both"/>
        <w:rPr>
          <w:rFonts w:ascii="Gill Sans" w:eastAsia="Gill Sans" w:hAnsi="Gill Sans" w:cs="Gill Sans"/>
          <w:color w:val="1F497D"/>
        </w:rPr>
      </w:pPr>
      <w:r>
        <w:rPr>
          <w:rFonts w:ascii="Gill Sans" w:eastAsia="Gill Sans" w:hAnsi="Gill Sans" w:cs="Gill Sans"/>
          <w:color w:val="1F497D"/>
        </w:rPr>
        <w:t>Strategic and operational perspective of green logistics and green supply chain management, green logistics areas; especially green transportation and green packaging, indicators of environmental  sustainability, best practices of green logistics in various business fields, environmental management systems (ISO 14001), environmental reporting and LCA, carbon footprint, supply chain audit, emissions trading and its business implications, laws and regulations related to sustainability in the supply chain risk management in supply chain, social factors of sustainability.</w:t>
      </w:r>
    </w:p>
    <w:p w14:paraId="6120D185" w14:textId="77777777" w:rsidR="00923C67" w:rsidRDefault="007504A4">
      <w:pPr>
        <w:spacing w:after="0" w:line="240" w:lineRule="auto"/>
        <w:jc w:val="both"/>
        <w:rPr>
          <w:rFonts w:ascii="Gill Sans" w:eastAsia="Gill Sans" w:hAnsi="Gill Sans" w:cs="Gill Sans"/>
          <w:b/>
          <w:color w:val="1F497D"/>
        </w:rPr>
      </w:pPr>
      <w:r>
        <w:rPr>
          <w:rFonts w:ascii="Gill Sans" w:eastAsia="Gill Sans" w:hAnsi="Gill Sans" w:cs="Gill Sans"/>
          <w:b/>
          <w:color w:val="1F497D"/>
        </w:rPr>
        <w:lastRenderedPageBreak/>
        <w:t>ILOG428 Air Cargo Transportation (3-0-0-3-6)</w:t>
      </w:r>
    </w:p>
    <w:p w14:paraId="4312B3E2" w14:textId="77777777" w:rsidR="00923C67" w:rsidRDefault="007504A4">
      <w:pPr>
        <w:spacing w:after="0" w:line="240" w:lineRule="auto"/>
        <w:jc w:val="both"/>
        <w:rPr>
          <w:rFonts w:ascii="Gill Sans" w:eastAsia="Gill Sans" w:hAnsi="Gill Sans" w:cs="Gill Sans"/>
          <w:color w:val="1F497D"/>
        </w:rPr>
      </w:pPr>
      <w:r>
        <w:rPr>
          <w:rFonts w:ascii="Gill Sans" w:eastAsia="Gill Sans" w:hAnsi="Gill Sans" w:cs="Gill Sans"/>
          <w:color w:val="1F497D"/>
        </w:rPr>
        <w:t>Cargo trends and forecasts, Industry challenges, cargo e-business and quality management, cargo operations in airways, cargo marketing and revenue management, strategies for cargo carriers; plan, design, develop and manage air cargo terminals and air related logistics systems.</w:t>
      </w:r>
    </w:p>
    <w:p w14:paraId="3F8BB367" w14:textId="77777777" w:rsidR="00923C67" w:rsidRDefault="00923C67">
      <w:pPr>
        <w:spacing w:after="0" w:line="240" w:lineRule="auto"/>
        <w:jc w:val="both"/>
        <w:rPr>
          <w:rFonts w:ascii="Gill Sans" w:eastAsia="Gill Sans" w:hAnsi="Gill Sans" w:cs="Gill Sans"/>
          <w:color w:val="1F497D"/>
        </w:rPr>
      </w:pPr>
    </w:p>
    <w:p w14:paraId="6D6E4923" w14:textId="77777777" w:rsidR="00923C67" w:rsidRDefault="007504A4">
      <w:pPr>
        <w:spacing w:after="0" w:line="240" w:lineRule="auto"/>
        <w:jc w:val="both"/>
        <w:rPr>
          <w:rFonts w:ascii="Gill Sans" w:eastAsia="Gill Sans" w:hAnsi="Gill Sans" w:cs="Gill Sans"/>
          <w:b/>
          <w:color w:val="1F497D"/>
        </w:rPr>
      </w:pPr>
      <w:r>
        <w:rPr>
          <w:rFonts w:ascii="Gill Sans" w:eastAsia="Gill Sans" w:hAnsi="Gill Sans" w:cs="Gill Sans"/>
          <w:b/>
          <w:color w:val="1F497D"/>
        </w:rPr>
        <w:t>ILOG438 Hazardous Goods and Project Transportation (3-0-0-3-6)</w:t>
      </w:r>
    </w:p>
    <w:p w14:paraId="3AF8B1EF" w14:textId="62E31BC5" w:rsidR="00923C67" w:rsidRDefault="007504A4">
      <w:pPr>
        <w:spacing w:after="0" w:line="240" w:lineRule="auto"/>
        <w:jc w:val="both"/>
        <w:rPr>
          <w:rFonts w:ascii="Gill Sans" w:eastAsia="Gill Sans" w:hAnsi="Gill Sans" w:cs="Gill Sans"/>
          <w:color w:val="1F497D"/>
        </w:rPr>
      </w:pPr>
      <w:r>
        <w:rPr>
          <w:rFonts w:ascii="Gill Sans" w:eastAsia="Gill Sans" w:hAnsi="Gill Sans" w:cs="Gill Sans"/>
          <w:color w:val="1F497D"/>
        </w:rPr>
        <w:t>Dangerous transport flows, dangerous materials control process, design of dangerous and special goods logistics, insurance in dangerous goods, logistics plan for transportation of dangerous materials, indicators about hazardous transport, risk prevention and risk management in logistics networks, and intermodal transportation of dangerous goods, laws and regulations related with hazardous goods and project transportat</w:t>
      </w:r>
      <w:r w:rsidR="0042050D">
        <w:rPr>
          <w:rFonts w:ascii="Gill Sans" w:eastAsia="Gill Sans" w:hAnsi="Gill Sans" w:cs="Gill Sans"/>
          <w:color w:val="1F497D"/>
        </w:rPr>
        <w:t>i</w:t>
      </w:r>
      <w:r>
        <w:rPr>
          <w:rFonts w:ascii="Gill Sans" w:eastAsia="Gill Sans" w:hAnsi="Gill Sans" w:cs="Gill Sans"/>
          <w:color w:val="1F497D"/>
        </w:rPr>
        <w:t>on.</w:t>
      </w:r>
    </w:p>
    <w:p w14:paraId="71CEFF27" w14:textId="77777777" w:rsidR="00923C67" w:rsidRDefault="00923C67">
      <w:pPr>
        <w:spacing w:after="0" w:line="240" w:lineRule="auto"/>
        <w:jc w:val="both"/>
        <w:rPr>
          <w:rFonts w:ascii="Gill Sans" w:eastAsia="Gill Sans" w:hAnsi="Gill Sans" w:cs="Gill Sans"/>
          <w:color w:val="1F497D"/>
        </w:rPr>
      </w:pPr>
    </w:p>
    <w:p w14:paraId="2D1F7980" w14:textId="77777777" w:rsidR="00923C67" w:rsidRDefault="007504A4">
      <w:pPr>
        <w:spacing w:after="0" w:line="240" w:lineRule="auto"/>
        <w:jc w:val="both"/>
        <w:rPr>
          <w:rFonts w:ascii="Gill Sans" w:eastAsia="Gill Sans" w:hAnsi="Gill Sans" w:cs="Gill Sans"/>
          <w:b/>
          <w:color w:val="1F497D"/>
        </w:rPr>
      </w:pPr>
      <w:r>
        <w:rPr>
          <w:rFonts w:ascii="Gill Sans" w:eastAsia="Gill Sans" w:hAnsi="Gill Sans" w:cs="Gill Sans"/>
          <w:b/>
          <w:color w:val="1F497D"/>
        </w:rPr>
        <w:t>ILOG448 Humanitarian Logistics (3-0-0-3-6)</w:t>
      </w:r>
    </w:p>
    <w:p w14:paraId="2B84E091" w14:textId="77777777" w:rsidR="00923C67" w:rsidRDefault="007504A4">
      <w:pPr>
        <w:spacing w:after="0" w:line="240" w:lineRule="auto"/>
        <w:jc w:val="both"/>
        <w:rPr>
          <w:rFonts w:ascii="Gill Sans" w:eastAsia="Gill Sans" w:hAnsi="Gill Sans" w:cs="Gill Sans"/>
          <w:color w:val="1F497D"/>
        </w:rPr>
      </w:pPr>
      <w:r>
        <w:rPr>
          <w:rFonts w:ascii="Gill Sans" w:eastAsia="Gill Sans" w:hAnsi="Gill Sans" w:cs="Gill Sans"/>
          <w:color w:val="1F497D"/>
        </w:rPr>
        <w:t xml:space="preserve">Disaster relief operations, Impact on aid effectiveness, Public-private (and civil-military) partnerships in the supply chain, Economic importance of the aid industry, Integration in the relief supply chain, Public-private partnerships in humanitarian logistics, Food security from disaster relief to development and recovery, Health care humanitarian supply chains, Security in humanitarian logistics, Challenges in humanitarian logistics. </w:t>
      </w:r>
    </w:p>
    <w:p w14:paraId="23A7F5F1" w14:textId="77777777" w:rsidR="00923C67" w:rsidRDefault="00923C67">
      <w:pPr>
        <w:spacing w:after="0" w:line="240" w:lineRule="auto"/>
        <w:jc w:val="both"/>
        <w:rPr>
          <w:rFonts w:ascii="Gill Sans" w:eastAsia="Gill Sans" w:hAnsi="Gill Sans" w:cs="Gill Sans"/>
          <w:color w:val="1F497D"/>
        </w:rPr>
      </w:pPr>
    </w:p>
    <w:p w14:paraId="7D92DB2A" w14:textId="77777777" w:rsidR="00923C67" w:rsidRDefault="007504A4">
      <w:pPr>
        <w:spacing w:after="0" w:line="240" w:lineRule="auto"/>
        <w:jc w:val="both"/>
        <w:rPr>
          <w:rFonts w:ascii="Gill Sans" w:eastAsia="Gill Sans" w:hAnsi="Gill Sans" w:cs="Gill Sans"/>
          <w:b/>
          <w:color w:val="1F497D"/>
        </w:rPr>
      </w:pPr>
      <w:r>
        <w:rPr>
          <w:rFonts w:ascii="Gill Sans" w:eastAsia="Gill Sans" w:hAnsi="Gill Sans" w:cs="Gill Sans"/>
          <w:b/>
          <w:color w:val="1F497D"/>
        </w:rPr>
        <w:t>ILOG458 Liquid and Hazardous Materials Transportation (3-0-0-3-6)</w:t>
      </w:r>
    </w:p>
    <w:p w14:paraId="05EED871" w14:textId="77777777" w:rsidR="00923C67" w:rsidRDefault="007504A4">
      <w:pPr>
        <w:spacing w:after="0" w:line="240" w:lineRule="auto"/>
        <w:jc w:val="both"/>
        <w:rPr>
          <w:rFonts w:ascii="Gill Sans" w:eastAsia="Gill Sans" w:hAnsi="Gill Sans" w:cs="Gill Sans"/>
          <w:color w:val="1F497D"/>
        </w:rPr>
      </w:pPr>
      <w:r>
        <w:rPr>
          <w:rFonts w:ascii="Gill Sans" w:eastAsia="Gill Sans" w:hAnsi="Gill Sans" w:cs="Gill Sans"/>
          <w:color w:val="1F497D"/>
        </w:rPr>
        <w:t>The role of liquid and hazardous materials transportation in logistics, the potential of liquid and hazardous materials to affect human health and environment, using and handling of liquid and hazardous materials, storing and transporting of liquid and hazardous materials regulations for liquid and hazardous materials transportation, preventing accidents and reducing the risk of liquid and hazardous materials transportation, requirements for companies to transport liquid and hazardous materials, exposure to the liquid and hazardous materials during transportation, minimize liability and protect employees, community, and the environment during transportation.</w:t>
      </w:r>
    </w:p>
    <w:p w14:paraId="36F21608" w14:textId="77777777" w:rsidR="00923C67" w:rsidRDefault="00923C67">
      <w:pPr>
        <w:spacing w:after="0" w:line="240" w:lineRule="auto"/>
        <w:jc w:val="both"/>
        <w:rPr>
          <w:rFonts w:ascii="Gill Sans" w:eastAsia="Gill Sans" w:hAnsi="Gill Sans" w:cs="Gill Sans"/>
          <w:color w:val="1F497D"/>
        </w:rPr>
      </w:pPr>
    </w:p>
    <w:p w14:paraId="0044067B" w14:textId="77777777" w:rsidR="00923C67" w:rsidRDefault="007504A4">
      <w:pPr>
        <w:spacing w:after="0" w:line="240" w:lineRule="auto"/>
        <w:jc w:val="both"/>
        <w:rPr>
          <w:rFonts w:ascii="Gill Sans" w:eastAsia="Gill Sans" w:hAnsi="Gill Sans" w:cs="Gill Sans"/>
          <w:b/>
          <w:color w:val="1F497D"/>
        </w:rPr>
      </w:pPr>
      <w:r>
        <w:rPr>
          <w:rFonts w:ascii="Gill Sans" w:eastAsia="Gill Sans" w:hAnsi="Gill Sans" w:cs="Gill Sans"/>
          <w:b/>
          <w:color w:val="1F497D"/>
        </w:rPr>
        <w:t>ILOG468 Cold Chain Logistics (3-0-0-3-6)</w:t>
      </w:r>
    </w:p>
    <w:p w14:paraId="4CB93A6E" w14:textId="53E7DDC7" w:rsidR="00923C67" w:rsidRDefault="007504A4">
      <w:pPr>
        <w:spacing w:after="0" w:line="240" w:lineRule="auto"/>
        <w:jc w:val="both"/>
        <w:rPr>
          <w:rFonts w:ascii="Gill Sans" w:eastAsia="Gill Sans" w:hAnsi="Gill Sans" w:cs="Gill Sans"/>
          <w:color w:val="1F497D"/>
        </w:rPr>
      </w:pPr>
      <w:r>
        <w:rPr>
          <w:rFonts w:ascii="Gill Sans" w:eastAsia="Gill Sans" w:hAnsi="Gill Sans" w:cs="Gill Sans"/>
          <w:color w:val="1F497D"/>
        </w:rPr>
        <w:t xml:space="preserve">Understand and describe the basics of cold chain, cold chain logistics products, use of technology in cold chain logistics, cold chain logistics packaging systems, storage and transportation systems in cold chain logistics, </w:t>
      </w:r>
      <w:r w:rsidR="00704A99">
        <w:rPr>
          <w:rFonts w:ascii="Gill Sans" w:eastAsia="Gill Sans" w:hAnsi="Gill Sans" w:cs="Gill Sans"/>
          <w:color w:val="1F497D"/>
        </w:rPr>
        <w:t>identify</w:t>
      </w:r>
      <w:r>
        <w:rPr>
          <w:rFonts w:ascii="Gill Sans" w:eastAsia="Gill Sans" w:hAnsi="Gill Sans" w:cs="Gill Sans"/>
          <w:color w:val="1F497D"/>
        </w:rPr>
        <w:t xml:space="preserve"> key cold chain equipment, describe best practices for handling, storage and distribution in cold chain, </w:t>
      </w:r>
      <w:r>
        <w:rPr>
          <w:color w:val="1F497D"/>
        </w:rPr>
        <w:t>i</w:t>
      </w:r>
      <w:r>
        <w:rPr>
          <w:rFonts w:ascii="Gill Sans" w:eastAsia="Gill Sans" w:hAnsi="Gill Sans" w:cs="Gill Sans"/>
          <w:color w:val="1F497D"/>
        </w:rPr>
        <w:t>dentify the key aspects of quality and monitoring systems in cold chain, cold chain logistics problems.</w:t>
      </w:r>
    </w:p>
    <w:p w14:paraId="79036C12" w14:textId="77777777" w:rsidR="00923C67" w:rsidRDefault="00923C67">
      <w:pPr>
        <w:spacing w:after="0" w:line="240" w:lineRule="auto"/>
        <w:jc w:val="both"/>
        <w:rPr>
          <w:rFonts w:ascii="Gill Sans" w:eastAsia="Gill Sans" w:hAnsi="Gill Sans" w:cs="Gill Sans"/>
          <w:b/>
          <w:color w:val="1F497D"/>
        </w:rPr>
      </w:pPr>
    </w:p>
    <w:p w14:paraId="1355DC2A" w14:textId="77777777" w:rsidR="00923C67" w:rsidRDefault="007504A4">
      <w:pPr>
        <w:spacing w:after="0" w:line="240" w:lineRule="auto"/>
        <w:jc w:val="both"/>
        <w:rPr>
          <w:rFonts w:ascii="Gill Sans" w:eastAsia="Gill Sans" w:hAnsi="Gill Sans" w:cs="Gill Sans"/>
          <w:b/>
          <w:color w:val="1F497D"/>
        </w:rPr>
      </w:pPr>
      <w:r>
        <w:rPr>
          <w:rFonts w:ascii="Gill Sans" w:eastAsia="Gill Sans" w:hAnsi="Gill Sans" w:cs="Gill Sans"/>
          <w:b/>
          <w:color w:val="1F497D"/>
        </w:rPr>
        <w:t>ACCA327 Cost Management (3-0-0-3-6)</w:t>
      </w:r>
    </w:p>
    <w:p w14:paraId="5FEBE0D7" w14:textId="77777777" w:rsidR="00923C67" w:rsidRDefault="007504A4">
      <w:pPr>
        <w:spacing w:after="0" w:line="240" w:lineRule="auto"/>
        <w:jc w:val="both"/>
        <w:rPr>
          <w:rFonts w:ascii="Gill Sans" w:eastAsia="Gill Sans" w:hAnsi="Gill Sans" w:cs="Gill Sans"/>
          <w:color w:val="1F497D"/>
        </w:rPr>
      </w:pPr>
      <w:r>
        <w:rPr>
          <w:rFonts w:ascii="Gill Sans" w:eastAsia="Gill Sans" w:hAnsi="Gill Sans" w:cs="Gill Sans"/>
          <w:color w:val="1F497D"/>
        </w:rPr>
        <w:t>Cost and its components; the cost of installation methods; full costing, normal costing and variable costing methods; standard costs and variance analysis; current cost analysis in management decisions; cost-volume-profit analysis; operating budgets, inventory planning and control.</w:t>
      </w:r>
    </w:p>
    <w:p w14:paraId="34ABFA56" w14:textId="1A119858" w:rsidR="00D21E8D" w:rsidRDefault="00D21E8D">
      <w:pPr>
        <w:spacing w:after="0" w:line="240" w:lineRule="auto"/>
        <w:jc w:val="both"/>
        <w:rPr>
          <w:rFonts w:ascii="Gill Sans" w:eastAsia="Gill Sans" w:hAnsi="Gill Sans" w:cs="Gill Sans"/>
          <w:color w:val="1F497D"/>
        </w:rPr>
      </w:pPr>
    </w:p>
    <w:p w14:paraId="2992E6D4" w14:textId="3EBC4864" w:rsidR="00D21E8D" w:rsidRPr="00D21E8D" w:rsidRDefault="00D21E8D">
      <w:pPr>
        <w:spacing w:after="0" w:line="240" w:lineRule="auto"/>
        <w:jc w:val="both"/>
        <w:rPr>
          <w:rFonts w:ascii="Gill Sans" w:eastAsia="Gill Sans" w:hAnsi="Gill Sans" w:cs="Gill Sans"/>
          <w:b/>
          <w:color w:val="1F497D"/>
        </w:rPr>
      </w:pPr>
      <w:r w:rsidRPr="00D21E8D">
        <w:rPr>
          <w:rFonts w:ascii="Gill Sans" w:eastAsia="Gill Sans" w:hAnsi="Gill Sans" w:cs="Gill Sans"/>
          <w:b/>
          <w:color w:val="1F497D"/>
        </w:rPr>
        <w:t>ACCA405 Budgeting</w:t>
      </w:r>
      <w:r>
        <w:rPr>
          <w:rFonts w:ascii="Gill Sans" w:eastAsia="Gill Sans" w:hAnsi="Gill Sans" w:cs="Gill Sans"/>
          <w:b/>
          <w:color w:val="1F497D"/>
        </w:rPr>
        <w:t xml:space="preserve"> (3-0-0-3-6)</w:t>
      </w:r>
    </w:p>
    <w:p w14:paraId="771D9109" w14:textId="1DC0B243" w:rsidR="00923C67" w:rsidRDefault="00D21E8D">
      <w:pPr>
        <w:spacing w:after="0" w:line="240" w:lineRule="auto"/>
        <w:jc w:val="both"/>
        <w:rPr>
          <w:rFonts w:ascii="Gill Sans" w:eastAsia="Gill Sans" w:hAnsi="Gill Sans" w:cs="Gill Sans"/>
          <w:color w:val="1F497D"/>
        </w:rPr>
      </w:pPr>
      <w:r w:rsidRPr="00D21E8D">
        <w:rPr>
          <w:rFonts w:ascii="Gill Sans" w:eastAsia="Gill Sans" w:hAnsi="Gill Sans" w:cs="Gill Sans"/>
          <w:color w:val="1F497D"/>
        </w:rPr>
        <w:t>Definition of budgeting and basic principles; the basic principles and deviation from the basic principles of the budget; budgeting systems; budgeting process and preparation of the budget; budget deviation analysis; budget implementation in manufacturing enterprises; budget implementation in service companies; budget implementation in trading companies</w:t>
      </w:r>
    </w:p>
    <w:p w14:paraId="42E74F6E" w14:textId="77777777" w:rsidR="00D21E8D" w:rsidRDefault="00D21E8D">
      <w:pPr>
        <w:spacing w:after="0" w:line="240" w:lineRule="auto"/>
        <w:jc w:val="both"/>
        <w:rPr>
          <w:rFonts w:ascii="Gill Sans" w:eastAsia="Gill Sans" w:hAnsi="Gill Sans" w:cs="Gill Sans"/>
          <w:color w:val="1F497D"/>
        </w:rPr>
      </w:pPr>
    </w:p>
    <w:p w14:paraId="67290784" w14:textId="77777777" w:rsidR="000D7453" w:rsidRDefault="000D7453">
      <w:pPr>
        <w:spacing w:after="0" w:line="240" w:lineRule="auto"/>
        <w:jc w:val="both"/>
        <w:rPr>
          <w:rFonts w:ascii="Gill Sans" w:eastAsia="Gill Sans" w:hAnsi="Gill Sans" w:cs="Gill Sans"/>
          <w:b/>
          <w:color w:val="1F497D"/>
        </w:rPr>
      </w:pPr>
    </w:p>
    <w:p w14:paraId="44520CEA" w14:textId="2F1F8473" w:rsidR="00923C67" w:rsidRDefault="007504A4">
      <w:pPr>
        <w:spacing w:after="0" w:line="240" w:lineRule="auto"/>
        <w:jc w:val="both"/>
        <w:rPr>
          <w:rFonts w:ascii="Gill Sans" w:eastAsia="Gill Sans" w:hAnsi="Gill Sans" w:cs="Gill Sans"/>
          <w:b/>
          <w:color w:val="1F497D"/>
        </w:rPr>
      </w:pPr>
      <w:r>
        <w:rPr>
          <w:rFonts w:ascii="Gill Sans" w:eastAsia="Gill Sans" w:hAnsi="Gill Sans" w:cs="Gill Sans"/>
          <w:b/>
          <w:color w:val="1F497D"/>
        </w:rPr>
        <w:lastRenderedPageBreak/>
        <w:t>BBA201 Organizational Behavior (3-0-0-3-6)</w:t>
      </w:r>
    </w:p>
    <w:p w14:paraId="1AC65696" w14:textId="77777777" w:rsidR="00923C67" w:rsidRDefault="007504A4">
      <w:pPr>
        <w:spacing w:after="0" w:line="240" w:lineRule="auto"/>
        <w:jc w:val="both"/>
        <w:rPr>
          <w:rFonts w:ascii="Gill Sans" w:eastAsia="Gill Sans" w:hAnsi="Gill Sans" w:cs="Gill Sans"/>
          <w:color w:val="1F497D"/>
        </w:rPr>
      </w:pPr>
      <w:r>
        <w:rPr>
          <w:rFonts w:ascii="Gill Sans" w:eastAsia="Gill Sans" w:hAnsi="Gill Sans" w:cs="Gill Sans"/>
          <w:color w:val="1F497D"/>
        </w:rPr>
        <w:t>Definition of organizational behavior; diversity and cultural values; ethics; personality and attitudes; attitudes and job satisfaction; emotions and moods; perception and individual decision-making; motivation concepts; motivation; from concepts to applications; foundations of group behavior; understanding work teams; communication; leadership; power and politics; conflict and negotiation; foundations of organization structure; organizational culture; human resource policies and practices; organizational change and stress management.</w:t>
      </w:r>
    </w:p>
    <w:p w14:paraId="45F46958" w14:textId="77777777" w:rsidR="00923C67" w:rsidRDefault="00923C67">
      <w:pPr>
        <w:spacing w:after="0" w:line="240" w:lineRule="auto"/>
        <w:jc w:val="both"/>
        <w:rPr>
          <w:rFonts w:ascii="Gill Sans" w:eastAsia="Gill Sans" w:hAnsi="Gill Sans" w:cs="Gill Sans"/>
          <w:color w:val="1F497D"/>
        </w:rPr>
      </w:pPr>
    </w:p>
    <w:p w14:paraId="4C7A3F4B" w14:textId="77777777" w:rsidR="00923C67" w:rsidRDefault="007504A4">
      <w:pPr>
        <w:spacing w:after="0" w:line="240" w:lineRule="auto"/>
        <w:jc w:val="both"/>
        <w:rPr>
          <w:rFonts w:ascii="Gill Sans" w:eastAsia="Gill Sans" w:hAnsi="Gill Sans" w:cs="Gill Sans"/>
          <w:b/>
          <w:color w:val="1F497D"/>
        </w:rPr>
      </w:pPr>
      <w:r>
        <w:rPr>
          <w:rFonts w:ascii="Gill Sans" w:eastAsia="Gill Sans" w:hAnsi="Gill Sans" w:cs="Gill Sans"/>
          <w:b/>
          <w:color w:val="1F497D"/>
        </w:rPr>
        <w:t>BBA202 Human Resource Management (3-0-0-3-6)</w:t>
      </w:r>
    </w:p>
    <w:p w14:paraId="08DAF06C" w14:textId="77777777" w:rsidR="00923C67" w:rsidRDefault="007504A4">
      <w:pPr>
        <w:spacing w:after="0" w:line="240" w:lineRule="auto"/>
        <w:jc w:val="both"/>
        <w:rPr>
          <w:rFonts w:ascii="Gill Sans" w:eastAsia="Gill Sans" w:hAnsi="Gill Sans" w:cs="Gill Sans"/>
          <w:color w:val="1F497D"/>
        </w:rPr>
      </w:pPr>
      <w:r>
        <w:rPr>
          <w:rFonts w:ascii="Gill Sans" w:eastAsia="Gill Sans" w:hAnsi="Gill Sans" w:cs="Gill Sans"/>
          <w:color w:val="1F497D"/>
        </w:rPr>
        <w:t>Definition of human resource management; its basic concepts; strategic role of human resource function in an organization; key functions of human resource management such as workforce planning; recruitment, selection, development, performance appraisal, succession planning, career management and retention, job evaluation, compensation; ethical issues; principles and problems of labor relations; employee-employer relations; organizational culture; diversity management; international human resource management.</w:t>
      </w:r>
    </w:p>
    <w:p w14:paraId="52462059" w14:textId="77777777" w:rsidR="00923C67" w:rsidRDefault="00923C67">
      <w:pPr>
        <w:spacing w:after="0" w:line="240" w:lineRule="auto"/>
        <w:jc w:val="both"/>
        <w:rPr>
          <w:rFonts w:ascii="Gill Sans" w:eastAsia="Gill Sans" w:hAnsi="Gill Sans" w:cs="Gill Sans"/>
          <w:color w:val="1F497D"/>
        </w:rPr>
      </w:pPr>
    </w:p>
    <w:p w14:paraId="6753CA40" w14:textId="77777777" w:rsidR="00923C67" w:rsidRDefault="007504A4">
      <w:pPr>
        <w:spacing w:after="0" w:line="240" w:lineRule="auto"/>
        <w:jc w:val="both"/>
        <w:rPr>
          <w:rFonts w:ascii="Gill Sans" w:eastAsia="Gill Sans" w:hAnsi="Gill Sans" w:cs="Gill Sans"/>
          <w:b/>
          <w:color w:val="1F497D"/>
        </w:rPr>
      </w:pPr>
      <w:r>
        <w:rPr>
          <w:rFonts w:ascii="Gill Sans" w:eastAsia="Gill Sans" w:hAnsi="Gill Sans" w:cs="Gill Sans"/>
          <w:b/>
          <w:color w:val="1F497D"/>
        </w:rPr>
        <w:t>BBA203 Cross-Cultural Business Communication and Ethics (3-0-0-3-6)</w:t>
      </w:r>
    </w:p>
    <w:p w14:paraId="1482E3E0" w14:textId="77777777" w:rsidR="00923C67" w:rsidRDefault="007504A4">
      <w:pPr>
        <w:spacing w:after="0" w:line="240" w:lineRule="auto"/>
        <w:jc w:val="both"/>
        <w:rPr>
          <w:rFonts w:ascii="Gill Sans" w:eastAsia="Gill Sans" w:hAnsi="Gill Sans" w:cs="Gill Sans"/>
          <w:color w:val="1F497D"/>
        </w:rPr>
      </w:pPr>
      <w:r>
        <w:rPr>
          <w:rFonts w:ascii="Gill Sans" w:eastAsia="Gill Sans" w:hAnsi="Gill Sans" w:cs="Gill Sans"/>
          <w:color w:val="1F497D"/>
        </w:rPr>
        <w:t>Cross-cultural communications management; assessing the business and marketing environment; understanding the role of culture; the meanings and dimensions of culture; cross-cultural models; communicating across cultures; verbal and non-verbal communication; issues in cross-cultural communications management; application of cross-cultural communications management to business situations: cross-cultural negotiation and decision-making, formulating strategy in cross-cultural environment; definition of ethic; trust and truth; unfair competition; ethical issues in business practices; social responsibility and the role of ethical issues in management.</w:t>
      </w:r>
    </w:p>
    <w:p w14:paraId="7C6CCE0E" w14:textId="77777777" w:rsidR="00923C67" w:rsidRDefault="00923C67">
      <w:pPr>
        <w:spacing w:after="0" w:line="240" w:lineRule="auto"/>
        <w:jc w:val="both"/>
        <w:rPr>
          <w:rFonts w:ascii="Gill Sans" w:eastAsia="Gill Sans" w:hAnsi="Gill Sans" w:cs="Gill Sans"/>
          <w:color w:val="1F497D"/>
        </w:rPr>
      </w:pPr>
    </w:p>
    <w:p w14:paraId="7529EC70" w14:textId="77777777" w:rsidR="00923C67" w:rsidRDefault="007504A4">
      <w:pPr>
        <w:spacing w:after="0" w:line="240" w:lineRule="auto"/>
        <w:jc w:val="both"/>
        <w:rPr>
          <w:rFonts w:ascii="Gill Sans" w:eastAsia="Gill Sans" w:hAnsi="Gill Sans" w:cs="Gill Sans"/>
          <w:b/>
          <w:color w:val="1F497D"/>
        </w:rPr>
      </w:pPr>
      <w:r>
        <w:rPr>
          <w:rFonts w:ascii="Gill Sans" w:eastAsia="Gill Sans" w:hAnsi="Gill Sans" w:cs="Gill Sans"/>
          <w:b/>
          <w:color w:val="1F497D"/>
        </w:rPr>
        <w:t>BBA210 Corporate Sustainability Management (3-0-0-3-6)</w:t>
      </w:r>
    </w:p>
    <w:p w14:paraId="6460808B" w14:textId="3FD30E99" w:rsidR="00923C67" w:rsidRDefault="007504A4">
      <w:pPr>
        <w:spacing w:after="0" w:line="240" w:lineRule="auto"/>
        <w:jc w:val="both"/>
        <w:rPr>
          <w:rFonts w:ascii="Gill Sans" w:eastAsia="Gill Sans" w:hAnsi="Gill Sans" w:cs="Gill Sans"/>
          <w:color w:val="1F497D"/>
        </w:rPr>
      </w:pPr>
      <w:r>
        <w:rPr>
          <w:rFonts w:ascii="Gill Sans" w:eastAsia="Gill Sans" w:hAnsi="Gill Sans" w:cs="Gill Sans"/>
          <w:color w:val="1F497D"/>
        </w:rPr>
        <w:t xml:space="preserve">The course focuses on the examination of basic concepts related with corporate sustainability and examines how businesses develop and implement strategies to promote sustainability. This course contains; Introduction to the Course, Introduction to Sustainability Concepts, Theories of Sustainability: Shareholder vs Stakeholder Theories, Theories of Sustainability: Porter’s Creating Shared Value Approach, Linking strategy with sustainability, Strategy-Sustainability </w:t>
      </w:r>
      <w:r w:rsidR="00933916">
        <w:rPr>
          <w:rFonts w:ascii="Gill Sans" w:eastAsia="Gill Sans" w:hAnsi="Gill Sans" w:cs="Gill Sans"/>
          <w:color w:val="1F497D"/>
        </w:rPr>
        <w:t>Integration</w:t>
      </w:r>
      <w:r>
        <w:rPr>
          <w:rFonts w:ascii="Gill Sans" w:eastAsia="Gill Sans" w:hAnsi="Gill Sans" w:cs="Gill Sans"/>
          <w:color w:val="1F497D"/>
        </w:rPr>
        <w:t>, Sustainability at Production, Operations, R&amp;D and Logistics Processes, Integrating Human Resources, Marketing and IT with Sustainability, Risk Management and Sustainability, Sustainability Communication, Mechanisms for Sustainability, Sustainability and Innovation, Social Entrepreneurship.</w:t>
      </w:r>
    </w:p>
    <w:p w14:paraId="65303813" w14:textId="77777777" w:rsidR="00923C67" w:rsidRDefault="00923C67">
      <w:pPr>
        <w:spacing w:after="0" w:line="240" w:lineRule="auto"/>
        <w:jc w:val="both"/>
        <w:rPr>
          <w:rFonts w:ascii="Gill Sans" w:eastAsia="Gill Sans" w:hAnsi="Gill Sans" w:cs="Gill Sans"/>
          <w:color w:val="1F497D"/>
        </w:rPr>
      </w:pPr>
    </w:p>
    <w:p w14:paraId="05E41A1B" w14:textId="77777777" w:rsidR="00923C67" w:rsidRDefault="007504A4">
      <w:pPr>
        <w:spacing w:after="0" w:line="240" w:lineRule="auto"/>
        <w:jc w:val="both"/>
        <w:rPr>
          <w:rFonts w:ascii="Gill Sans" w:eastAsia="Gill Sans" w:hAnsi="Gill Sans" w:cs="Gill Sans"/>
          <w:b/>
          <w:color w:val="1F497D"/>
        </w:rPr>
      </w:pPr>
      <w:r>
        <w:rPr>
          <w:rFonts w:ascii="Gill Sans" w:eastAsia="Gill Sans" w:hAnsi="Gill Sans" w:cs="Gill Sans"/>
          <w:b/>
          <w:color w:val="1F497D"/>
        </w:rPr>
        <w:t>BBA222 Entrepreneurship Applications (2-0-0-2-3)</w:t>
      </w:r>
    </w:p>
    <w:p w14:paraId="1ACA3230" w14:textId="77777777" w:rsidR="00923C67" w:rsidRDefault="007504A4">
      <w:pPr>
        <w:spacing w:after="0" w:line="240" w:lineRule="auto"/>
        <w:jc w:val="both"/>
        <w:rPr>
          <w:rFonts w:ascii="Gill Sans" w:eastAsia="Gill Sans" w:hAnsi="Gill Sans" w:cs="Gill Sans"/>
          <w:color w:val="1F497D"/>
        </w:rPr>
      </w:pPr>
      <w:r>
        <w:rPr>
          <w:rFonts w:ascii="Gill Sans" w:eastAsia="Gill Sans" w:hAnsi="Gill Sans" w:cs="Gill Sans"/>
          <w:color w:val="1F497D"/>
        </w:rPr>
        <w:t>Examples from entrepreneurial successes; role models; development of an entrepreneurial culture and awareness; entrepreneurial eco-system; entrepreneurial finance.</w:t>
      </w:r>
    </w:p>
    <w:p w14:paraId="02BC1AE2" w14:textId="77777777" w:rsidR="00923C67" w:rsidRDefault="00923C67">
      <w:pPr>
        <w:spacing w:after="0" w:line="240" w:lineRule="auto"/>
        <w:jc w:val="both"/>
        <w:rPr>
          <w:rFonts w:ascii="Gill Sans" w:eastAsia="Gill Sans" w:hAnsi="Gill Sans" w:cs="Gill Sans"/>
          <w:color w:val="1F497D"/>
        </w:rPr>
      </w:pPr>
    </w:p>
    <w:p w14:paraId="055FFC77" w14:textId="77777777" w:rsidR="00923C67" w:rsidRDefault="007504A4">
      <w:pPr>
        <w:spacing w:after="0" w:line="240" w:lineRule="auto"/>
        <w:jc w:val="both"/>
        <w:rPr>
          <w:rFonts w:ascii="Gill Sans" w:eastAsia="Gill Sans" w:hAnsi="Gill Sans" w:cs="Gill Sans"/>
          <w:b/>
          <w:color w:val="1F497D"/>
        </w:rPr>
      </w:pPr>
      <w:r>
        <w:rPr>
          <w:rFonts w:ascii="Gill Sans" w:eastAsia="Gill Sans" w:hAnsi="Gill Sans" w:cs="Gill Sans"/>
          <w:b/>
          <w:color w:val="1F497D"/>
        </w:rPr>
        <w:t>BBA280 Data Analysis (3-0-0-3-6)</w:t>
      </w:r>
    </w:p>
    <w:p w14:paraId="4E6502BA" w14:textId="77777777" w:rsidR="00923C67" w:rsidRDefault="007504A4">
      <w:pPr>
        <w:spacing w:after="0" w:line="240" w:lineRule="auto"/>
        <w:jc w:val="both"/>
        <w:rPr>
          <w:rFonts w:ascii="Gill Sans" w:eastAsia="Gill Sans" w:hAnsi="Gill Sans" w:cs="Gill Sans"/>
          <w:color w:val="1F497D"/>
        </w:rPr>
      </w:pPr>
      <w:r>
        <w:rPr>
          <w:rFonts w:ascii="Gill Sans" w:eastAsia="Gill Sans" w:hAnsi="Gill Sans" w:cs="Gill Sans"/>
          <w:color w:val="1F497D"/>
        </w:rPr>
        <w:t>Data structures, types and organization, determining the suitability of data with parametric and non-parametric methods and models, methods of reaching complete information about the population with the usage. To perform statistical analysis and interpretation of data with the help of various package programs (Excel, SPSS, MATLAB and Python) by teaching the basic concepts and methods of data analysis.</w:t>
      </w:r>
      <w:r>
        <w:rPr>
          <w:rFonts w:ascii="Gill Sans" w:eastAsia="Gill Sans" w:hAnsi="Gill Sans" w:cs="Gill Sans"/>
          <w:color w:val="1F497D"/>
        </w:rPr>
        <w:tab/>
      </w:r>
    </w:p>
    <w:p w14:paraId="14266B76" w14:textId="77777777" w:rsidR="00923C67" w:rsidRDefault="00923C67">
      <w:pPr>
        <w:spacing w:after="0" w:line="240" w:lineRule="auto"/>
        <w:jc w:val="both"/>
        <w:rPr>
          <w:rFonts w:ascii="Gill Sans" w:eastAsia="Gill Sans" w:hAnsi="Gill Sans" w:cs="Gill Sans"/>
          <w:color w:val="1F497D"/>
        </w:rPr>
      </w:pPr>
    </w:p>
    <w:p w14:paraId="20F54684" w14:textId="77777777" w:rsidR="00923C67" w:rsidRDefault="007504A4">
      <w:pPr>
        <w:spacing w:after="0" w:line="240" w:lineRule="auto"/>
        <w:jc w:val="both"/>
        <w:rPr>
          <w:rFonts w:ascii="Gill Sans" w:eastAsia="Gill Sans" w:hAnsi="Gill Sans" w:cs="Gill Sans"/>
          <w:b/>
          <w:color w:val="1F497D"/>
        </w:rPr>
      </w:pPr>
      <w:r>
        <w:rPr>
          <w:rFonts w:ascii="Gill Sans" w:eastAsia="Gill Sans" w:hAnsi="Gill Sans" w:cs="Gill Sans"/>
          <w:b/>
          <w:color w:val="1F497D"/>
        </w:rPr>
        <w:lastRenderedPageBreak/>
        <w:t>BBA281 Research Methods (3-0-0-3-6)</w:t>
      </w:r>
    </w:p>
    <w:p w14:paraId="7C9EF5B7" w14:textId="77777777" w:rsidR="00923C67" w:rsidRDefault="007504A4">
      <w:pPr>
        <w:spacing w:after="0" w:line="240" w:lineRule="auto"/>
        <w:jc w:val="both"/>
        <w:rPr>
          <w:rFonts w:ascii="Gill Sans" w:eastAsia="Gill Sans" w:hAnsi="Gill Sans" w:cs="Gill Sans"/>
          <w:color w:val="1F497D"/>
        </w:rPr>
      </w:pPr>
      <w:r>
        <w:rPr>
          <w:rFonts w:ascii="Gill Sans" w:eastAsia="Gill Sans" w:hAnsi="Gill Sans" w:cs="Gill Sans"/>
          <w:color w:val="1F497D"/>
        </w:rPr>
        <w:t>Introduction to the process of conducting research; steps in the process of research; identifying a hypothesis and research problem; creating research questions; reviewing literature; ethics of research; qualitative research: essence of qualitative data, sampling, collection techniques; interpreting qualitative data: qualitative data analysis procedures, coding, thematic development; quantitative research: essence of quantitative data, collection and analysis techniques, sampling, data collection instruments; applied statistics: identifying the dependent and independent variables, confidence levels; descriptive statistics; inferential statistics: drawing inference from data, modeling assumptions, identifying patterns, data analysis; regression analysis; SPSS application; APA writing styles, taxonomy of research, research project presentation.</w:t>
      </w:r>
    </w:p>
    <w:p w14:paraId="79455D6C" w14:textId="77777777" w:rsidR="00923C67" w:rsidRDefault="00923C67">
      <w:pPr>
        <w:spacing w:after="0" w:line="240" w:lineRule="auto"/>
        <w:jc w:val="both"/>
        <w:rPr>
          <w:rFonts w:ascii="Gill Sans" w:eastAsia="Gill Sans" w:hAnsi="Gill Sans" w:cs="Gill Sans"/>
          <w:color w:val="1F497D"/>
        </w:rPr>
      </w:pPr>
    </w:p>
    <w:p w14:paraId="751DE075" w14:textId="77777777" w:rsidR="00923C67" w:rsidRDefault="007504A4">
      <w:pPr>
        <w:spacing w:after="0" w:line="240" w:lineRule="auto"/>
        <w:jc w:val="both"/>
        <w:rPr>
          <w:rFonts w:ascii="Gill Sans" w:eastAsia="Gill Sans" w:hAnsi="Gill Sans" w:cs="Gill Sans"/>
          <w:b/>
          <w:color w:val="1F497D"/>
        </w:rPr>
      </w:pPr>
      <w:r>
        <w:rPr>
          <w:rFonts w:ascii="Gill Sans" w:eastAsia="Gill Sans" w:hAnsi="Gill Sans" w:cs="Gill Sans"/>
          <w:b/>
          <w:color w:val="1F497D"/>
        </w:rPr>
        <w:t>BBA290 Advanced Excel Applications (3-0-0-3-6)</w:t>
      </w:r>
    </w:p>
    <w:p w14:paraId="1638DBD2" w14:textId="77777777" w:rsidR="00923C67" w:rsidRDefault="007504A4">
      <w:pPr>
        <w:spacing w:after="0" w:line="240" w:lineRule="auto"/>
        <w:jc w:val="both"/>
        <w:rPr>
          <w:rFonts w:ascii="Gill Sans" w:eastAsia="Gill Sans" w:hAnsi="Gill Sans" w:cs="Gill Sans"/>
          <w:color w:val="1F497D"/>
        </w:rPr>
      </w:pPr>
      <w:r>
        <w:rPr>
          <w:rFonts w:ascii="Gill Sans" w:eastAsia="Gill Sans" w:hAnsi="Gill Sans" w:cs="Gill Sans"/>
          <w:color w:val="1F497D"/>
        </w:rPr>
        <w:t xml:space="preserve">Basic Excel use; working with worksheets and books; working with data lists; conditional and unconditional formatting; working with graphics; logical and mathematical functions; statistical functions; financial functions; subtotals, preparing tables and summary table analysis; pivot tables; macros; data analysis. </w:t>
      </w:r>
    </w:p>
    <w:p w14:paraId="24310C60" w14:textId="77777777" w:rsidR="006E5EF7" w:rsidRPr="007504A4" w:rsidRDefault="006E5EF7">
      <w:pPr>
        <w:spacing w:after="0" w:line="240" w:lineRule="auto"/>
        <w:jc w:val="both"/>
        <w:rPr>
          <w:rFonts w:ascii="Gill Sans" w:eastAsia="Gill Sans" w:hAnsi="Gill Sans" w:cs="Gill Sans"/>
          <w:color w:val="1F497D"/>
        </w:rPr>
      </w:pPr>
    </w:p>
    <w:p w14:paraId="645C8B76" w14:textId="77777777" w:rsidR="006E5EF7" w:rsidRPr="007504A4" w:rsidRDefault="006E5EF7" w:rsidP="006E5EF7">
      <w:pPr>
        <w:spacing w:after="0" w:line="240" w:lineRule="auto"/>
        <w:jc w:val="both"/>
        <w:rPr>
          <w:rFonts w:ascii="Gill Sans MT" w:hAnsi="Gill Sans MT" w:cs="Arial"/>
          <w:b/>
          <w:color w:val="1F497D" w:themeColor="text2"/>
        </w:rPr>
      </w:pPr>
      <w:r w:rsidRPr="007504A4">
        <w:rPr>
          <w:rFonts w:ascii="Gill Sans MT" w:hAnsi="Gill Sans MT" w:cs="Arial"/>
          <w:b/>
          <w:color w:val="1F497D" w:themeColor="text2"/>
        </w:rPr>
        <w:t>BBA292 Fundamentals of Commercial Law (3-0-0-3-6)</w:t>
      </w:r>
    </w:p>
    <w:p w14:paraId="0E155B4F" w14:textId="4D5F1CB0" w:rsidR="006E5EF7" w:rsidRDefault="006E5EF7" w:rsidP="006E5EF7">
      <w:pPr>
        <w:spacing w:after="0" w:line="240" w:lineRule="auto"/>
        <w:jc w:val="both"/>
        <w:rPr>
          <w:rFonts w:ascii="Gill Sans" w:eastAsia="Gill Sans" w:hAnsi="Gill Sans" w:cs="Gill Sans"/>
          <w:color w:val="1F497D"/>
        </w:rPr>
      </w:pPr>
      <w:r w:rsidRPr="00D21E8D">
        <w:rPr>
          <w:rFonts w:ascii="Gill Sans" w:eastAsia="Gill Sans" w:hAnsi="Gill Sans" w:cs="Gill Sans"/>
          <w:color w:val="1F497D"/>
        </w:rPr>
        <w:t>Concept of law, coerciveness of law, damages and sanctions, comparison of law with similar concepts, importance and function of law, definition of commercial law and its properties, Commercial Code, concept of commercial enterprise, structure, headquarters-branch distinction, concept of business transaction, presumption of business transaction, commercial provisions, commercial jurisdiction, merchants, consequences of being a merchant, dependent commercial assistants, independent commercial assistants, trade registry, registration, effects of registration, commercial name, company name, open account, commercial books, concept of person, real persons, legal persons, acquisition of personality, capacity to have rights in real persons and legal persons, loss of personality, trademark, unfair competition bills of exchange, promissory notes, cheques, commodity bills.</w:t>
      </w:r>
    </w:p>
    <w:p w14:paraId="1E55CFBF" w14:textId="77777777" w:rsidR="00923C67" w:rsidRDefault="00923C67">
      <w:pPr>
        <w:spacing w:after="0" w:line="240" w:lineRule="auto"/>
        <w:jc w:val="both"/>
        <w:rPr>
          <w:rFonts w:ascii="Gill Sans" w:eastAsia="Gill Sans" w:hAnsi="Gill Sans" w:cs="Gill Sans"/>
          <w:color w:val="1F497D"/>
        </w:rPr>
      </w:pPr>
    </w:p>
    <w:p w14:paraId="5D0F9EAA" w14:textId="17C92C76" w:rsidR="00923C67" w:rsidRDefault="007504A4">
      <w:pPr>
        <w:spacing w:after="0" w:line="240" w:lineRule="auto"/>
        <w:jc w:val="both"/>
        <w:rPr>
          <w:rFonts w:ascii="Gill Sans" w:eastAsia="Gill Sans" w:hAnsi="Gill Sans" w:cs="Gill Sans"/>
          <w:b/>
          <w:color w:val="1F497D"/>
        </w:rPr>
      </w:pPr>
      <w:r>
        <w:rPr>
          <w:rFonts w:ascii="Gill Sans" w:eastAsia="Gill Sans" w:hAnsi="Gill Sans" w:cs="Gill Sans"/>
          <w:b/>
          <w:color w:val="1F497D"/>
        </w:rPr>
        <w:t>BBA302 Global Business (3-0-0-3-6)</w:t>
      </w:r>
    </w:p>
    <w:p w14:paraId="3B46B627" w14:textId="77777777" w:rsidR="00923C67" w:rsidRDefault="007504A4">
      <w:pPr>
        <w:spacing w:after="0" w:line="240" w:lineRule="auto"/>
        <w:jc w:val="both"/>
        <w:rPr>
          <w:rFonts w:ascii="Gill Sans" w:eastAsia="Gill Sans" w:hAnsi="Gill Sans" w:cs="Gill Sans"/>
          <w:color w:val="1F497D"/>
        </w:rPr>
      </w:pPr>
      <w:r>
        <w:rPr>
          <w:rFonts w:ascii="Gill Sans" w:eastAsia="Gill Sans" w:hAnsi="Gill Sans" w:cs="Gill Sans"/>
          <w:color w:val="1F497D"/>
        </w:rPr>
        <w:t>Introduction to global business; globalization of market and the internalization of the firm; cultural environment of global business; ethics and international business; theories of international trade and investment; PESTEL analysis, government intervention in global business; emerging markets and developing economies; advanced economies; import and export intermediaries; supplier and distributor contracts; competitive strategies; alternate methods of market entry; foreign direct investment and collaborative ventures; global sourcing; marketing in the global firm; HRM in the global firm; financial management and accounting in the global firm; global operations management.</w:t>
      </w:r>
    </w:p>
    <w:p w14:paraId="22C6BA34" w14:textId="77777777" w:rsidR="00923C67" w:rsidRDefault="00923C67">
      <w:pPr>
        <w:spacing w:after="0" w:line="240" w:lineRule="auto"/>
        <w:jc w:val="both"/>
        <w:rPr>
          <w:rFonts w:ascii="Gill Sans" w:eastAsia="Gill Sans" w:hAnsi="Gill Sans" w:cs="Gill Sans"/>
          <w:color w:val="1F497D"/>
        </w:rPr>
      </w:pPr>
    </w:p>
    <w:p w14:paraId="3CE23408" w14:textId="77777777" w:rsidR="00923C67" w:rsidRDefault="007504A4">
      <w:pPr>
        <w:spacing w:after="0" w:line="240" w:lineRule="auto"/>
        <w:jc w:val="both"/>
        <w:rPr>
          <w:rFonts w:ascii="Gill Sans" w:eastAsia="Gill Sans" w:hAnsi="Gill Sans" w:cs="Gill Sans"/>
          <w:b/>
          <w:color w:val="1F497D"/>
        </w:rPr>
      </w:pPr>
      <w:r>
        <w:rPr>
          <w:rFonts w:ascii="Gill Sans" w:eastAsia="Gill Sans" w:hAnsi="Gill Sans" w:cs="Gill Sans"/>
          <w:b/>
          <w:color w:val="1F497D"/>
        </w:rPr>
        <w:t>BBA303 Management Information Systems (3-0-0-3-6)</w:t>
      </w:r>
    </w:p>
    <w:p w14:paraId="4CF2FA43" w14:textId="77777777" w:rsidR="00923C67" w:rsidRDefault="007504A4">
      <w:pPr>
        <w:spacing w:after="0" w:line="240" w:lineRule="auto"/>
        <w:jc w:val="both"/>
        <w:rPr>
          <w:rFonts w:ascii="Gill Sans" w:eastAsia="Gill Sans" w:hAnsi="Gill Sans" w:cs="Gill Sans"/>
          <w:color w:val="1F497D"/>
        </w:rPr>
      </w:pPr>
      <w:r>
        <w:rPr>
          <w:rFonts w:ascii="Gill Sans" w:eastAsia="Gill Sans" w:hAnsi="Gill Sans" w:cs="Gill Sans"/>
          <w:color w:val="1F497D"/>
        </w:rPr>
        <w:t>Organizational foundations of information systems; hardware; software, wireless communication; internet; management information systems; ERP systems; planning; implementation and the stages of MIS systems; application areas; decision-making methods and the effects of these systems on the functions of management.</w:t>
      </w:r>
    </w:p>
    <w:p w14:paraId="2077B0A3" w14:textId="77777777" w:rsidR="00923C67" w:rsidRDefault="00923C67">
      <w:pPr>
        <w:pBdr>
          <w:top w:val="nil"/>
          <w:left w:val="nil"/>
          <w:bottom w:val="nil"/>
          <w:right w:val="nil"/>
          <w:between w:val="nil"/>
        </w:pBdr>
        <w:spacing w:after="0" w:line="240" w:lineRule="auto"/>
        <w:jc w:val="both"/>
        <w:rPr>
          <w:rFonts w:ascii="Gill Sans" w:eastAsia="Gill Sans" w:hAnsi="Gill Sans" w:cs="Gill Sans"/>
          <w:b/>
          <w:color w:val="1F497D"/>
        </w:rPr>
      </w:pPr>
    </w:p>
    <w:p w14:paraId="07765481" w14:textId="77777777" w:rsidR="000D7453" w:rsidRDefault="000D7453">
      <w:pPr>
        <w:pBdr>
          <w:top w:val="nil"/>
          <w:left w:val="nil"/>
          <w:bottom w:val="nil"/>
          <w:right w:val="nil"/>
          <w:between w:val="nil"/>
        </w:pBdr>
        <w:spacing w:after="0" w:line="240" w:lineRule="auto"/>
        <w:jc w:val="both"/>
        <w:rPr>
          <w:rFonts w:ascii="Gill Sans" w:eastAsia="Gill Sans" w:hAnsi="Gill Sans" w:cs="Gill Sans"/>
          <w:b/>
          <w:color w:val="1F497D"/>
        </w:rPr>
      </w:pPr>
    </w:p>
    <w:p w14:paraId="1B48D23C" w14:textId="77777777" w:rsidR="000D7453" w:rsidRDefault="000D7453">
      <w:pPr>
        <w:pBdr>
          <w:top w:val="nil"/>
          <w:left w:val="nil"/>
          <w:bottom w:val="nil"/>
          <w:right w:val="nil"/>
          <w:between w:val="nil"/>
        </w:pBdr>
        <w:spacing w:after="0" w:line="240" w:lineRule="auto"/>
        <w:jc w:val="both"/>
        <w:rPr>
          <w:rFonts w:ascii="Gill Sans" w:eastAsia="Gill Sans" w:hAnsi="Gill Sans" w:cs="Gill Sans"/>
          <w:b/>
          <w:color w:val="1F497D"/>
        </w:rPr>
      </w:pPr>
    </w:p>
    <w:p w14:paraId="2AC01DF4" w14:textId="61948F42" w:rsidR="00923C67" w:rsidRDefault="007504A4">
      <w:pPr>
        <w:pBdr>
          <w:top w:val="nil"/>
          <w:left w:val="nil"/>
          <w:bottom w:val="nil"/>
          <w:right w:val="nil"/>
          <w:between w:val="nil"/>
        </w:pBdr>
        <w:spacing w:after="0" w:line="240" w:lineRule="auto"/>
        <w:jc w:val="both"/>
        <w:rPr>
          <w:rFonts w:ascii="Gill Sans" w:eastAsia="Gill Sans" w:hAnsi="Gill Sans" w:cs="Gill Sans"/>
          <w:b/>
          <w:color w:val="1F497D"/>
          <w:u w:val="single"/>
        </w:rPr>
      </w:pPr>
      <w:r>
        <w:rPr>
          <w:rFonts w:ascii="Gill Sans" w:eastAsia="Gill Sans" w:hAnsi="Gill Sans" w:cs="Gill Sans"/>
          <w:b/>
          <w:color w:val="1F497D"/>
        </w:rPr>
        <w:lastRenderedPageBreak/>
        <w:t>BBA304 Leadership and Change Management (3-0-0-3-6)</w:t>
      </w:r>
    </w:p>
    <w:p w14:paraId="2749F115" w14:textId="77777777" w:rsidR="00923C67" w:rsidRDefault="007504A4">
      <w:pPr>
        <w:spacing w:after="0" w:line="240" w:lineRule="auto"/>
        <w:jc w:val="both"/>
        <w:rPr>
          <w:rFonts w:ascii="Gill Sans" w:eastAsia="Gill Sans" w:hAnsi="Gill Sans" w:cs="Gill Sans"/>
          <w:color w:val="1F497D"/>
        </w:rPr>
      </w:pPr>
      <w:r>
        <w:rPr>
          <w:rFonts w:ascii="Gill Sans" w:eastAsia="Gill Sans" w:hAnsi="Gill Sans" w:cs="Gill Sans"/>
          <w:color w:val="1F497D"/>
        </w:rPr>
        <w:t>Definition of leadership; trait and behavioral theories of leadership; situational contingency leadership; implicit leadership; inspirational leadership perspectives; moral leadership; shared leadership; leadership across cultures; strategic leadership; phases of organizational change; planned change strategies; forces for and resistance to organizational change; organization-level resistance to change; evolutionary and revolutionary change in organizations; managing and leading organizational change; leaders as change agents.</w:t>
      </w:r>
    </w:p>
    <w:p w14:paraId="5AB28B7E" w14:textId="77777777" w:rsidR="00923C67" w:rsidRDefault="00923C67">
      <w:pPr>
        <w:spacing w:after="0" w:line="240" w:lineRule="auto"/>
        <w:jc w:val="both"/>
        <w:rPr>
          <w:rFonts w:ascii="Gill Sans" w:eastAsia="Gill Sans" w:hAnsi="Gill Sans" w:cs="Gill Sans"/>
          <w:color w:val="1F497D"/>
        </w:rPr>
      </w:pPr>
    </w:p>
    <w:p w14:paraId="0E9E4AF3" w14:textId="77777777" w:rsidR="00923C67" w:rsidRDefault="007504A4">
      <w:pPr>
        <w:spacing w:after="0" w:line="240" w:lineRule="auto"/>
        <w:jc w:val="both"/>
        <w:rPr>
          <w:rFonts w:ascii="Gill Sans" w:eastAsia="Gill Sans" w:hAnsi="Gill Sans" w:cs="Gill Sans"/>
          <w:b/>
          <w:color w:val="1F497D"/>
        </w:rPr>
      </w:pPr>
      <w:r>
        <w:rPr>
          <w:rFonts w:ascii="Gill Sans" w:eastAsia="Gill Sans" w:hAnsi="Gill Sans" w:cs="Gill Sans"/>
          <w:b/>
          <w:color w:val="1F497D"/>
        </w:rPr>
        <w:t>BBA320 Idea Generation (3-0-0-3-6)</w:t>
      </w:r>
    </w:p>
    <w:p w14:paraId="69AE0E83" w14:textId="064DB191" w:rsidR="00923C67" w:rsidRDefault="007504A4">
      <w:pPr>
        <w:spacing w:after="0" w:line="240" w:lineRule="auto"/>
        <w:jc w:val="both"/>
        <w:rPr>
          <w:rFonts w:ascii="Gill Sans" w:eastAsia="Gill Sans" w:hAnsi="Gill Sans" w:cs="Gill Sans"/>
          <w:color w:val="1F497D"/>
        </w:rPr>
      </w:pPr>
      <w:proofErr w:type="spellStart"/>
      <w:r>
        <w:rPr>
          <w:rFonts w:ascii="Gill Sans" w:eastAsia="Gill Sans" w:hAnsi="Gill Sans" w:cs="Gill Sans"/>
          <w:color w:val="1F497D"/>
        </w:rPr>
        <w:t>Earlystage</w:t>
      </w:r>
      <w:proofErr w:type="spellEnd"/>
      <w:r>
        <w:rPr>
          <w:rFonts w:ascii="Gill Sans" w:eastAsia="Gill Sans" w:hAnsi="Gill Sans" w:cs="Gill Sans"/>
          <w:color w:val="1F497D"/>
        </w:rPr>
        <w:t xml:space="preserve"> entrepreneurial activities; creativity; design thinking; innovation management; stand-up phase; value creation; defining the business idea; business idea generation process; presentation of the business idea; customer appreciation and willingness to pay; technical and procedural feasibility.</w:t>
      </w:r>
    </w:p>
    <w:p w14:paraId="556FA74F" w14:textId="77777777" w:rsidR="00923C67" w:rsidRDefault="00923C67">
      <w:pPr>
        <w:spacing w:after="0" w:line="240" w:lineRule="auto"/>
        <w:jc w:val="both"/>
        <w:rPr>
          <w:rFonts w:ascii="Gill Sans" w:eastAsia="Gill Sans" w:hAnsi="Gill Sans" w:cs="Gill Sans"/>
          <w:color w:val="1F497D"/>
        </w:rPr>
      </w:pPr>
    </w:p>
    <w:p w14:paraId="377254DF" w14:textId="77777777" w:rsidR="00923C67" w:rsidRDefault="007504A4">
      <w:pPr>
        <w:spacing w:after="0" w:line="240" w:lineRule="auto"/>
        <w:jc w:val="both"/>
        <w:rPr>
          <w:rFonts w:ascii="Gill Sans" w:eastAsia="Gill Sans" w:hAnsi="Gill Sans" w:cs="Gill Sans"/>
          <w:b/>
          <w:color w:val="1F497D"/>
        </w:rPr>
      </w:pPr>
      <w:r>
        <w:rPr>
          <w:rFonts w:ascii="Gill Sans" w:eastAsia="Gill Sans" w:hAnsi="Gill Sans" w:cs="Gill Sans"/>
          <w:b/>
          <w:color w:val="1F497D"/>
        </w:rPr>
        <w:t>BBA342 Brand Management (3-0-0-3-6)</w:t>
      </w:r>
    </w:p>
    <w:p w14:paraId="382EBA51" w14:textId="77777777" w:rsidR="00923C67" w:rsidRDefault="007504A4">
      <w:pPr>
        <w:spacing w:after="0" w:line="240" w:lineRule="auto"/>
        <w:jc w:val="both"/>
        <w:rPr>
          <w:rFonts w:ascii="Gill Sans" w:eastAsia="Gill Sans" w:hAnsi="Gill Sans" w:cs="Gill Sans"/>
          <w:color w:val="1F497D"/>
        </w:rPr>
      </w:pPr>
      <w:r>
        <w:rPr>
          <w:rFonts w:ascii="Gill Sans" w:eastAsia="Gill Sans" w:hAnsi="Gill Sans" w:cs="Gill Sans"/>
          <w:color w:val="1F497D"/>
        </w:rPr>
        <w:t>Basic concepts; brand management; brand equity; brand positioning; designing marketing programs to build brand equity; integrating marketing communications to build brand equity; brand equity measurement and evaluation; branding strategies; brand extensions; sustainability in brand management; global brands; organizational, managerial and ethical issues.</w:t>
      </w:r>
    </w:p>
    <w:p w14:paraId="73AE7DF4" w14:textId="77777777" w:rsidR="00923C67" w:rsidRDefault="00923C67">
      <w:pPr>
        <w:spacing w:after="0" w:line="240" w:lineRule="auto"/>
        <w:jc w:val="both"/>
        <w:rPr>
          <w:rFonts w:ascii="Gill Sans" w:eastAsia="Gill Sans" w:hAnsi="Gill Sans" w:cs="Gill Sans"/>
          <w:color w:val="1F497D"/>
        </w:rPr>
      </w:pPr>
    </w:p>
    <w:p w14:paraId="0822F341" w14:textId="77777777" w:rsidR="00923C67" w:rsidRDefault="007504A4">
      <w:pPr>
        <w:spacing w:after="0" w:line="240" w:lineRule="auto"/>
        <w:jc w:val="both"/>
        <w:rPr>
          <w:rFonts w:ascii="Gill Sans" w:eastAsia="Gill Sans" w:hAnsi="Gill Sans" w:cs="Gill Sans"/>
          <w:b/>
          <w:color w:val="1F497D"/>
        </w:rPr>
      </w:pPr>
      <w:r>
        <w:rPr>
          <w:rFonts w:ascii="Gill Sans" w:eastAsia="Gill Sans" w:hAnsi="Gill Sans" w:cs="Gill Sans"/>
          <w:b/>
          <w:color w:val="1F497D"/>
        </w:rPr>
        <w:t>BBA381 Business Analytics and Decision Making (3-0-0-3-6)</w:t>
      </w:r>
    </w:p>
    <w:p w14:paraId="3FDAB099" w14:textId="77777777" w:rsidR="00923C67" w:rsidRDefault="007504A4">
      <w:pPr>
        <w:spacing w:after="0" w:line="240" w:lineRule="auto"/>
        <w:jc w:val="both"/>
        <w:rPr>
          <w:rFonts w:ascii="Gill Sans" w:eastAsia="Gill Sans" w:hAnsi="Gill Sans" w:cs="Gill Sans"/>
          <w:color w:val="1F497D"/>
        </w:rPr>
      </w:pPr>
      <w:r>
        <w:rPr>
          <w:rFonts w:ascii="Gill Sans" w:eastAsia="Gill Sans" w:hAnsi="Gill Sans" w:cs="Gill Sans"/>
          <w:color w:val="1F497D"/>
        </w:rPr>
        <w:t>Probability concepts and applications; decision analysis; forecasting; inventory control models; linear programming; transportation, assignment, and network models; integer programming and goal programming; project management; waiting lines and queuing theory models; Monte Carlo simulation modelling; Markov chain; statistical quality control.</w:t>
      </w:r>
    </w:p>
    <w:p w14:paraId="50964D7A" w14:textId="77777777" w:rsidR="006E5EF7" w:rsidRPr="007504A4" w:rsidRDefault="006E5EF7">
      <w:pPr>
        <w:spacing w:after="0" w:line="240" w:lineRule="auto"/>
        <w:jc w:val="both"/>
        <w:rPr>
          <w:rFonts w:ascii="Gill Sans" w:eastAsia="Gill Sans" w:hAnsi="Gill Sans" w:cs="Gill Sans"/>
          <w:color w:val="1F497D"/>
        </w:rPr>
      </w:pPr>
    </w:p>
    <w:p w14:paraId="03D7ACA7" w14:textId="77777777" w:rsidR="006E5EF7" w:rsidRPr="007504A4" w:rsidRDefault="006E5EF7" w:rsidP="006E5EF7">
      <w:pPr>
        <w:spacing w:after="0" w:line="240" w:lineRule="auto"/>
        <w:jc w:val="both"/>
        <w:rPr>
          <w:rFonts w:ascii="Gill Sans MT" w:eastAsia="Times New Roman" w:hAnsi="Gill Sans MT" w:cs="Arial"/>
          <w:b/>
          <w:color w:val="1F497D" w:themeColor="text2"/>
        </w:rPr>
      </w:pPr>
      <w:r w:rsidRPr="007504A4">
        <w:rPr>
          <w:rFonts w:ascii="Gill Sans MT" w:eastAsia="Times New Roman" w:hAnsi="Gill Sans MT" w:cs="Times New Roman"/>
          <w:b/>
          <w:color w:val="1F497D" w:themeColor="text2"/>
        </w:rPr>
        <w:t xml:space="preserve">BBA389 Fundamentals of Tax Law </w:t>
      </w:r>
      <w:r w:rsidRPr="007504A4">
        <w:rPr>
          <w:rFonts w:ascii="Gill Sans MT" w:eastAsia="Times New Roman" w:hAnsi="Gill Sans MT" w:cs="Times New Roman"/>
          <w:b/>
          <w:bCs/>
          <w:color w:val="1F497D" w:themeColor="text2"/>
        </w:rPr>
        <w:t>(3-0-0-3-6)</w:t>
      </w:r>
    </w:p>
    <w:p w14:paraId="04073540" w14:textId="77777777" w:rsidR="006E5EF7" w:rsidRPr="006E5EF7" w:rsidRDefault="006E5EF7" w:rsidP="006E5EF7">
      <w:pPr>
        <w:spacing w:after="0" w:line="240" w:lineRule="auto"/>
        <w:jc w:val="both"/>
        <w:rPr>
          <w:rFonts w:ascii="Gill Sans" w:eastAsia="Gill Sans" w:hAnsi="Gill Sans" w:cs="Gill Sans"/>
          <w:color w:val="1F497D"/>
        </w:rPr>
      </w:pPr>
      <w:r w:rsidRPr="006E5EF7">
        <w:rPr>
          <w:rFonts w:ascii="Gill Sans" w:eastAsia="Gill Sans" w:hAnsi="Gill Sans" w:cs="Gill Sans"/>
          <w:color w:val="1F497D"/>
        </w:rPr>
        <w:t>Concept of law, concept of financial law, meaning of tax law; the place of tax law and its independence within the law system; correlation of tax law with the private law and public law branches, branches of tax law; sources of law; sources of tax law; enforcement of tax rules in terms of place; time and meaning; basic concepts and institutions of tax law; tax immunity; exceptions and deductions; basis; tax table; assessment; notification; accrual; payment and tax collection; Code on Collection Procedure of Assets; prescription; cancellation; types of cancellation; tax amnesty; concept, types, extension; calculation of time in tax law; tax administration and review; tax crimes and punishment; tax jurisdiction.</w:t>
      </w:r>
    </w:p>
    <w:p w14:paraId="76C1CCB8" w14:textId="77777777" w:rsidR="006E5EF7" w:rsidRDefault="006E5EF7">
      <w:pPr>
        <w:spacing w:after="0" w:line="240" w:lineRule="auto"/>
        <w:jc w:val="both"/>
        <w:rPr>
          <w:rFonts w:ascii="Gill Sans" w:eastAsia="Gill Sans" w:hAnsi="Gill Sans" w:cs="Gill Sans"/>
          <w:color w:val="1F497D"/>
        </w:rPr>
      </w:pPr>
    </w:p>
    <w:p w14:paraId="2B1FB4DE" w14:textId="77777777" w:rsidR="00923C67" w:rsidRDefault="007504A4">
      <w:pPr>
        <w:spacing w:after="0" w:line="240" w:lineRule="auto"/>
        <w:jc w:val="both"/>
        <w:rPr>
          <w:rFonts w:ascii="Gill Sans" w:eastAsia="Gill Sans" w:hAnsi="Gill Sans" w:cs="Gill Sans"/>
          <w:color w:val="1F497D"/>
        </w:rPr>
      </w:pPr>
      <w:r>
        <w:rPr>
          <w:rFonts w:ascii="Gill Sans" w:eastAsia="Gill Sans" w:hAnsi="Gill Sans" w:cs="Gill Sans"/>
          <w:b/>
          <w:color w:val="1F497D"/>
        </w:rPr>
        <w:t>BBA401 Strategic Management (3-0-0-3-7)</w:t>
      </w:r>
    </w:p>
    <w:p w14:paraId="7A6A77C5" w14:textId="77777777" w:rsidR="00923C67" w:rsidRDefault="007504A4">
      <w:pPr>
        <w:spacing w:after="0" w:line="240" w:lineRule="auto"/>
        <w:jc w:val="both"/>
        <w:rPr>
          <w:rFonts w:ascii="Gill Sans" w:eastAsia="Gill Sans" w:hAnsi="Gill Sans" w:cs="Gill Sans"/>
          <w:color w:val="1F497D"/>
        </w:rPr>
      </w:pPr>
      <w:r>
        <w:rPr>
          <w:rFonts w:ascii="Gill Sans" w:eastAsia="Gill Sans" w:hAnsi="Gill Sans" w:cs="Gill Sans"/>
          <w:color w:val="1F497D"/>
        </w:rPr>
        <w:t>Basic concepts of strategic management; the strategic management process; developing strategic vision, mission, and objectives; crafting strategy; industry analysis, competitive analysis, evaluating company resources; evaluating competitive capabilities; corporate and business strategies; the five generic competitive strategies; strategies for international markets; implementing strategy: resources and structure; implementing strategy: budgets, policies, incentives; implementing strategy: culture and leadership; strategic evaluation and control; ethics in strategic management, business strategy simulation game.</w:t>
      </w:r>
    </w:p>
    <w:p w14:paraId="6181B993" w14:textId="77777777" w:rsidR="00923C67" w:rsidRDefault="00923C67">
      <w:pPr>
        <w:spacing w:after="0" w:line="240" w:lineRule="auto"/>
        <w:jc w:val="both"/>
        <w:rPr>
          <w:rFonts w:ascii="Gill Sans" w:eastAsia="Gill Sans" w:hAnsi="Gill Sans" w:cs="Gill Sans"/>
          <w:color w:val="1F497D"/>
        </w:rPr>
      </w:pPr>
    </w:p>
    <w:p w14:paraId="48B923BA" w14:textId="77777777" w:rsidR="00923C67" w:rsidRDefault="007504A4">
      <w:pPr>
        <w:spacing w:after="0"/>
        <w:jc w:val="both"/>
        <w:rPr>
          <w:rFonts w:ascii="Gill Sans" w:eastAsia="Gill Sans" w:hAnsi="Gill Sans" w:cs="Gill Sans"/>
          <w:b/>
          <w:color w:val="1F497D"/>
        </w:rPr>
      </w:pPr>
      <w:r>
        <w:rPr>
          <w:rFonts w:ascii="Gill Sans" w:eastAsia="Gill Sans" w:hAnsi="Gill Sans" w:cs="Gill Sans"/>
          <w:b/>
          <w:color w:val="1F497D"/>
        </w:rPr>
        <w:t>BBA402 Strategy Applications (3-0-0-3-6)</w:t>
      </w:r>
    </w:p>
    <w:p w14:paraId="019C82EC" w14:textId="77777777" w:rsidR="00923C67" w:rsidRDefault="007504A4">
      <w:pPr>
        <w:spacing w:after="0" w:line="240" w:lineRule="auto"/>
        <w:jc w:val="both"/>
        <w:rPr>
          <w:rFonts w:ascii="Gill Sans" w:eastAsia="Gill Sans" w:hAnsi="Gill Sans" w:cs="Gill Sans"/>
          <w:color w:val="1F497D"/>
        </w:rPr>
      </w:pPr>
      <w:r>
        <w:rPr>
          <w:rFonts w:ascii="Gill Sans" w:eastAsia="Gill Sans" w:hAnsi="Gill Sans" w:cs="Gill Sans"/>
          <w:color w:val="1F497D"/>
        </w:rPr>
        <w:t>Learning strategic management applications through simulation, evaluation of management understanding through case studies, event analysis and technical applications.</w:t>
      </w:r>
    </w:p>
    <w:p w14:paraId="69ED7F4F" w14:textId="77777777" w:rsidR="00923C67" w:rsidRDefault="007504A4">
      <w:pPr>
        <w:spacing w:after="0" w:line="240" w:lineRule="auto"/>
        <w:jc w:val="both"/>
        <w:rPr>
          <w:rFonts w:ascii="Gill Sans" w:eastAsia="Gill Sans" w:hAnsi="Gill Sans" w:cs="Gill Sans"/>
          <w:b/>
          <w:color w:val="1F497D"/>
        </w:rPr>
      </w:pPr>
      <w:r>
        <w:rPr>
          <w:rFonts w:ascii="Gill Sans" w:eastAsia="Gill Sans" w:hAnsi="Gill Sans" w:cs="Gill Sans"/>
          <w:b/>
          <w:color w:val="1F497D"/>
        </w:rPr>
        <w:lastRenderedPageBreak/>
        <w:t>BBA411 Business Law (3-0-0-3-6)</w:t>
      </w:r>
    </w:p>
    <w:p w14:paraId="5739E346" w14:textId="77777777" w:rsidR="00923C67" w:rsidRDefault="007504A4">
      <w:pPr>
        <w:spacing w:after="0" w:line="240" w:lineRule="auto"/>
        <w:jc w:val="both"/>
        <w:rPr>
          <w:rFonts w:ascii="Gill Sans" w:eastAsia="Gill Sans" w:hAnsi="Gill Sans" w:cs="Gill Sans"/>
          <w:color w:val="1F497D"/>
        </w:rPr>
      </w:pPr>
      <w:r>
        <w:rPr>
          <w:rFonts w:ascii="Gill Sans" w:eastAsia="Gill Sans" w:hAnsi="Gill Sans" w:cs="Gill Sans"/>
          <w:color w:val="1F497D"/>
        </w:rPr>
        <w:t xml:space="preserve">Legal transactions; classification and formation of contracts; scope of commercial law; commercial transactions; assignment; commercial papers; partnerships; the rights of minors in the business entity; illegal aspects of bankruptcy; mergers; acquisitions and intellectual property; laws of patents; copyrights and trademarks; consumer laws; product warranties; rental relationships.  </w:t>
      </w:r>
    </w:p>
    <w:p w14:paraId="62D0CBA5" w14:textId="77777777" w:rsidR="00923C67" w:rsidRDefault="00923C67">
      <w:pPr>
        <w:spacing w:after="0" w:line="240" w:lineRule="auto"/>
        <w:jc w:val="both"/>
        <w:rPr>
          <w:rFonts w:ascii="Gill Sans" w:eastAsia="Gill Sans" w:hAnsi="Gill Sans" w:cs="Gill Sans"/>
          <w:color w:val="1F497D"/>
        </w:rPr>
      </w:pPr>
    </w:p>
    <w:p w14:paraId="7F216343" w14:textId="77777777" w:rsidR="00923C67" w:rsidRDefault="007504A4">
      <w:pPr>
        <w:spacing w:after="0" w:line="240" w:lineRule="auto"/>
        <w:jc w:val="both"/>
        <w:rPr>
          <w:rFonts w:ascii="Gill Sans" w:eastAsia="Gill Sans" w:hAnsi="Gill Sans" w:cs="Gill Sans"/>
          <w:b/>
          <w:color w:val="1F497D"/>
        </w:rPr>
      </w:pPr>
      <w:r>
        <w:rPr>
          <w:rFonts w:ascii="Gill Sans" w:eastAsia="Gill Sans" w:hAnsi="Gill Sans" w:cs="Gill Sans"/>
          <w:b/>
          <w:color w:val="1F497D"/>
        </w:rPr>
        <w:t>BBA421 Advanced Entrepreneurship (3-0-0-3-6)</w:t>
      </w:r>
    </w:p>
    <w:p w14:paraId="3EE9F7E0" w14:textId="77777777" w:rsidR="00923C67" w:rsidRDefault="007504A4">
      <w:pPr>
        <w:spacing w:after="0" w:line="240" w:lineRule="auto"/>
        <w:jc w:val="both"/>
        <w:rPr>
          <w:rFonts w:ascii="Gill Sans" w:eastAsia="Gill Sans" w:hAnsi="Gill Sans" w:cs="Gill Sans"/>
          <w:color w:val="1F497D"/>
        </w:rPr>
      </w:pPr>
      <w:r>
        <w:rPr>
          <w:rFonts w:ascii="Gill Sans" w:eastAsia="Gill Sans" w:hAnsi="Gill Sans" w:cs="Gill Sans"/>
          <w:color w:val="1F497D"/>
        </w:rPr>
        <w:t>Expansion of the entrepreneurial capacity; entrepreneurial canvas; scale-up phase; strategic decisions; sustainable growth model; fund-related organization and alternatives such as KOSGEB and TUBITAK; business plan creation and Osterwalder’s business model canvas; advanced critical thinking; presentation of business plan.</w:t>
      </w:r>
    </w:p>
    <w:p w14:paraId="30D73401" w14:textId="77777777" w:rsidR="00923C67" w:rsidRDefault="00923C67">
      <w:pPr>
        <w:spacing w:after="0" w:line="240" w:lineRule="auto"/>
        <w:jc w:val="both"/>
        <w:rPr>
          <w:rFonts w:ascii="Gill Sans" w:eastAsia="Gill Sans" w:hAnsi="Gill Sans" w:cs="Gill Sans"/>
          <w:color w:val="1F497D"/>
        </w:rPr>
      </w:pPr>
    </w:p>
    <w:p w14:paraId="5E556E7E" w14:textId="77777777" w:rsidR="00923C67" w:rsidRDefault="007504A4">
      <w:pPr>
        <w:spacing w:after="0" w:line="240" w:lineRule="auto"/>
        <w:jc w:val="both"/>
        <w:rPr>
          <w:rFonts w:ascii="Gill Sans" w:eastAsia="Gill Sans" w:hAnsi="Gill Sans" w:cs="Gill Sans"/>
          <w:b/>
          <w:color w:val="1F497D"/>
        </w:rPr>
      </w:pPr>
      <w:r>
        <w:rPr>
          <w:rFonts w:ascii="Gill Sans" w:eastAsia="Gill Sans" w:hAnsi="Gill Sans" w:cs="Gill Sans"/>
          <w:b/>
          <w:color w:val="1F497D"/>
        </w:rPr>
        <w:t>BBA422 Family Business Management (3-0-0-3-6)</w:t>
      </w:r>
    </w:p>
    <w:p w14:paraId="0E7CD0B6" w14:textId="77777777" w:rsidR="00923C67" w:rsidRDefault="007504A4">
      <w:pPr>
        <w:spacing w:after="0" w:line="240" w:lineRule="auto"/>
        <w:jc w:val="both"/>
        <w:rPr>
          <w:rFonts w:ascii="Gill Sans" w:eastAsia="Gill Sans" w:hAnsi="Gill Sans" w:cs="Gill Sans"/>
          <w:color w:val="1F497D"/>
        </w:rPr>
      </w:pPr>
      <w:r>
        <w:rPr>
          <w:rFonts w:ascii="Gill Sans" w:eastAsia="Gill Sans" w:hAnsi="Gill Sans" w:cs="Gill Sans"/>
          <w:color w:val="1F497D"/>
        </w:rPr>
        <w:t>Definition of family business; investing in family business; the succession conspiracy; management succession in the family business; strategies for family firms; the special role of strategic planning for family businesses; equity compensation for key employees; shareholder relationships in family businesses; planning around the problems of transactions involving family members; professionalizing the family firm; the transition to professional management; culture and continuity in family firms; boards of directors in the family firm; management practices that support entrepreneurship and continued growth; adaptation, survival, and growth of the family business.</w:t>
      </w:r>
    </w:p>
    <w:p w14:paraId="655F9009" w14:textId="77777777" w:rsidR="00923C67" w:rsidRDefault="00923C67">
      <w:pPr>
        <w:spacing w:after="0" w:line="240" w:lineRule="auto"/>
        <w:jc w:val="both"/>
        <w:rPr>
          <w:rFonts w:ascii="Gill Sans" w:eastAsia="Gill Sans" w:hAnsi="Gill Sans" w:cs="Gill Sans"/>
          <w:color w:val="1F497D"/>
        </w:rPr>
      </w:pPr>
    </w:p>
    <w:p w14:paraId="1E2592C5" w14:textId="77777777" w:rsidR="00923C67" w:rsidRDefault="007504A4">
      <w:pPr>
        <w:spacing w:after="0" w:line="240" w:lineRule="auto"/>
        <w:jc w:val="both"/>
        <w:rPr>
          <w:rFonts w:ascii="Gill Sans" w:eastAsia="Gill Sans" w:hAnsi="Gill Sans" w:cs="Gill Sans"/>
          <w:b/>
          <w:color w:val="1F497D"/>
        </w:rPr>
      </w:pPr>
      <w:r>
        <w:rPr>
          <w:rFonts w:ascii="Gill Sans" w:eastAsia="Gill Sans" w:hAnsi="Gill Sans" w:cs="Gill Sans"/>
          <w:b/>
          <w:color w:val="1F497D"/>
        </w:rPr>
        <w:t>BBA423 Small and Medium Enterprises Management (3-0-0-3-6)</w:t>
      </w:r>
    </w:p>
    <w:p w14:paraId="227C5FD1" w14:textId="77777777" w:rsidR="00923C67" w:rsidRDefault="007504A4">
      <w:pPr>
        <w:spacing w:after="0" w:line="240" w:lineRule="auto"/>
        <w:jc w:val="both"/>
        <w:rPr>
          <w:rFonts w:ascii="Gill Sans" w:eastAsia="Gill Sans" w:hAnsi="Gill Sans" w:cs="Gill Sans"/>
          <w:color w:val="1F497D"/>
        </w:rPr>
      </w:pPr>
      <w:r>
        <w:rPr>
          <w:rFonts w:ascii="Gill Sans" w:eastAsia="Gill Sans" w:hAnsi="Gill Sans" w:cs="Gill Sans"/>
          <w:color w:val="1F497D"/>
        </w:rPr>
        <w:t>Start-up phase, entrepreneurial intentions, realization, managerial functions; organization and strategy; marketing; HR; finance; and production related aspects; business life cycle; Mintzberg’s strategic apex; technical and business staff and infrastructural aspects; small and medium size enterprise creations; problems in the management of SMEs; management problems in family businesses; sustainable growth.</w:t>
      </w:r>
    </w:p>
    <w:p w14:paraId="18749D02" w14:textId="77777777" w:rsidR="00923C67" w:rsidRDefault="00923C67">
      <w:pPr>
        <w:spacing w:after="0" w:line="240" w:lineRule="auto"/>
        <w:jc w:val="both"/>
        <w:rPr>
          <w:rFonts w:ascii="Gill Sans" w:eastAsia="Gill Sans" w:hAnsi="Gill Sans" w:cs="Gill Sans"/>
          <w:color w:val="1F497D"/>
        </w:rPr>
      </w:pPr>
    </w:p>
    <w:p w14:paraId="4CB82586" w14:textId="77777777" w:rsidR="00923C67" w:rsidRDefault="007504A4">
      <w:pPr>
        <w:spacing w:after="0" w:line="240" w:lineRule="auto"/>
        <w:jc w:val="both"/>
        <w:rPr>
          <w:rFonts w:ascii="Gill Sans" w:eastAsia="Gill Sans" w:hAnsi="Gill Sans" w:cs="Gill Sans"/>
          <w:b/>
          <w:color w:val="1F497D"/>
        </w:rPr>
      </w:pPr>
      <w:r>
        <w:rPr>
          <w:rFonts w:ascii="Gill Sans" w:eastAsia="Gill Sans" w:hAnsi="Gill Sans" w:cs="Gill Sans"/>
          <w:b/>
          <w:color w:val="1F497D"/>
        </w:rPr>
        <w:t>BBA424 Social Entrepreneurship (3-0-0-3-6)</w:t>
      </w:r>
    </w:p>
    <w:p w14:paraId="4F8470AD" w14:textId="77777777" w:rsidR="00923C67" w:rsidRDefault="007504A4">
      <w:pPr>
        <w:spacing w:after="0" w:line="240" w:lineRule="auto"/>
        <w:jc w:val="both"/>
        <w:rPr>
          <w:rFonts w:ascii="Gill Sans" w:eastAsia="Gill Sans" w:hAnsi="Gill Sans" w:cs="Gill Sans"/>
          <w:color w:val="1F497D"/>
        </w:rPr>
      </w:pPr>
      <w:r>
        <w:rPr>
          <w:rFonts w:ascii="Gill Sans" w:eastAsia="Gill Sans" w:hAnsi="Gill Sans" w:cs="Gill Sans"/>
          <w:color w:val="1F497D"/>
        </w:rPr>
        <w:t>Principles and practices in social entrepreneurship; establishment and management of successful social mission-driven ventures, established pedagogy of entrepreneurship; cutting edge nonprofit and public management tools, Not-for Profits, NGOs, Hybrid Organizations; Cooperation; Foundations, Associations, Corporate Social Responsibility, Social Businesses and Social entrepreneurship.</w:t>
      </w:r>
    </w:p>
    <w:p w14:paraId="26E38560" w14:textId="77777777" w:rsidR="00923C67" w:rsidRDefault="00923C67">
      <w:pPr>
        <w:spacing w:after="0" w:line="240" w:lineRule="auto"/>
        <w:jc w:val="both"/>
        <w:rPr>
          <w:rFonts w:ascii="Gill Sans" w:eastAsia="Gill Sans" w:hAnsi="Gill Sans" w:cs="Gill Sans"/>
          <w:b/>
          <w:color w:val="1F497D"/>
        </w:rPr>
      </w:pPr>
    </w:p>
    <w:p w14:paraId="01807644" w14:textId="77777777" w:rsidR="00923C67" w:rsidRDefault="007504A4">
      <w:pPr>
        <w:spacing w:after="0" w:line="240" w:lineRule="auto"/>
        <w:jc w:val="both"/>
        <w:rPr>
          <w:rFonts w:ascii="Gill Sans" w:eastAsia="Gill Sans" w:hAnsi="Gill Sans" w:cs="Gill Sans"/>
          <w:b/>
          <w:color w:val="1F497D"/>
        </w:rPr>
      </w:pPr>
      <w:r>
        <w:rPr>
          <w:rFonts w:ascii="Gill Sans" w:eastAsia="Gill Sans" w:hAnsi="Gill Sans" w:cs="Gill Sans"/>
          <w:b/>
          <w:color w:val="1F497D"/>
        </w:rPr>
        <w:t>BBA427 Innovation Management (3-0-0-3-6)</w:t>
      </w:r>
    </w:p>
    <w:p w14:paraId="3845BFA2" w14:textId="77777777" w:rsidR="00923C67" w:rsidRDefault="007504A4">
      <w:pPr>
        <w:spacing w:after="0" w:line="240" w:lineRule="auto"/>
        <w:jc w:val="both"/>
        <w:rPr>
          <w:rFonts w:ascii="Gill Sans" w:eastAsia="Gill Sans" w:hAnsi="Gill Sans" w:cs="Gill Sans"/>
          <w:color w:val="1F497D"/>
        </w:rPr>
      </w:pPr>
      <w:r>
        <w:rPr>
          <w:rFonts w:ascii="Gill Sans" w:eastAsia="Gill Sans" w:hAnsi="Gill Sans" w:cs="Gill Sans"/>
          <w:color w:val="1F497D"/>
        </w:rPr>
        <w:t>Definition of innovation; characteristic of innovation; sources of innovation; creativity; creativity processes, factors  and conditions that prevent creativity; the differences between creativity and innovation; types of innovation; process of innovation; innovation models; diffusion of innovation; Intellectual property rights; innovation based strategies as a source of competitive advantage; implementation of innovation strategies; management of innovation; innovation clusters and national innovation systems; crowdsourcing of innovation; developing innovative user communities; the challenges and opportunities of co-creation.</w:t>
      </w:r>
    </w:p>
    <w:p w14:paraId="66D574C7" w14:textId="77777777" w:rsidR="00923C67" w:rsidRDefault="00923C67">
      <w:pPr>
        <w:spacing w:after="0" w:line="240" w:lineRule="auto"/>
        <w:jc w:val="both"/>
        <w:rPr>
          <w:rFonts w:ascii="Gill Sans" w:eastAsia="Gill Sans" w:hAnsi="Gill Sans" w:cs="Gill Sans"/>
          <w:color w:val="1F497D"/>
        </w:rPr>
      </w:pPr>
    </w:p>
    <w:p w14:paraId="0C0D2936" w14:textId="77777777" w:rsidR="000D7453" w:rsidRDefault="000D7453">
      <w:pPr>
        <w:rPr>
          <w:rFonts w:ascii="Gill Sans" w:eastAsia="Gill Sans" w:hAnsi="Gill Sans" w:cs="Gill Sans"/>
          <w:b/>
          <w:color w:val="1F497D"/>
        </w:rPr>
      </w:pPr>
      <w:r>
        <w:rPr>
          <w:rFonts w:ascii="Gill Sans" w:eastAsia="Gill Sans" w:hAnsi="Gill Sans" w:cs="Gill Sans"/>
          <w:b/>
          <w:color w:val="1F497D"/>
        </w:rPr>
        <w:br w:type="page"/>
      </w:r>
    </w:p>
    <w:p w14:paraId="25EDF42D" w14:textId="53B619EB" w:rsidR="00923C67" w:rsidRDefault="007504A4">
      <w:pPr>
        <w:spacing w:after="0" w:line="240" w:lineRule="auto"/>
        <w:jc w:val="both"/>
        <w:rPr>
          <w:rFonts w:ascii="Gill Sans" w:eastAsia="Gill Sans" w:hAnsi="Gill Sans" w:cs="Gill Sans"/>
          <w:b/>
          <w:color w:val="1F497D"/>
        </w:rPr>
      </w:pPr>
      <w:r>
        <w:rPr>
          <w:rFonts w:ascii="Gill Sans" w:eastAsia="Gill Sans" w:hAnsi="Gill Sans" w:cs="Gill Sans"/>
          <w:b/>
          <w:color w:val="1F497D"/>
        </w:rPr>
        <w:lastRenderedPageBreak/>
        <w:t>BBA441 Consumer Behavior (3-0-0-3-6)</w:t>
      </w:r>
    </w:p>
    <w:p w14:paraId="34BD1BD2" w14:textId="77777777" w:rsidR="00923C67" w:rsidRDefault="007504A4">
      <w:pPr>
        <w:spacing w:after="0" w:line="240" w:lineRule="auto"/>
        <w:jc w:val="both"/>
        <w:rPr>
          <w:rFonts w:ascii="Gill Sans" w:eastAsia="Gill Sans" w:hAnsi="Gill Sans" w:cs="Gill Sans"/>
          <w:color w:val="1F497D"/>
        </w:rPr>
      </w:pPr>
      <w:r>
        <w:rPr>
          <w:rFonts w:ascii="Gill Sans" w:eastAsia="Gill Sans" w:hAnsi="Gill Sans" w:cs="Gill Sans"/>
          <w:color w:val="1F497D"/>
        </w:rPr>
        <w:t>Consumer behavior: meeting changes and challenges; the consumer research process;  market segmentation and strategic targeting; consumer decision making: buying, using, and disposing; consumer motivation; personality, lifestyles and values and consumer behavior; consumer perception; consumer learning; consumer attitude formation and change; communication and consumer behavior; the family and its social class standing; influence of culture on consumer behavior; subcultures and consumer behavior; cross cultural and global consumer behavior; diffusion of innovations; consumer decision making and beyond; consumers social responsibility and green marketing.</w:t>
      </w:r>
    </w:p>
    <w:p w14:paraId="55E106FA" w14:textId="77777777" w:rsidR="00923C67" w:rsidRDefault="00923C67">
      <w:pPr>
        <w:spacing w:after="0" w:line="240" w:lineRule="auto"/>
        <w:jc w:val="both"/>
        <w:rPr>
          <w:rFonts w:ascii="Gill Sans" w:eastAsia="Gill Sans" w:hAnsi="Gill Sans" w:cs="Gill Sans"/>
          <w:b/>
          <w:color w:val="1F497D"/>
        </w:rPr>
      </w:pPr>
    </w:p>
    <w:p w14:paraId="34D58DCC" w14:textId="77777777" w:rsidR="00923C67" w:rsidRDefault="007504A4">
      <w:pPr>
        <w:spacing w:after="0" w:line="240" w:lineRule="auto"/>
        <w:jc w:val="both"/>
        <w:rPr>
          <w:rFonts w:ascii="Gill Sans" w:eastAsia="Gill Sans" w:hAnsi="Gill Sans" w:cs="Gill Sans"/>
          <w:b/>
          <w:color w:val="1F497D"/>
        </w:rPr>
      </w:pPr>
      <w:r>
        <w:rPr>
          <w:rFonts w:ascii="Gill Sans" w:eastAsia="Gill Sans" w:hAnsi="Gill Sans" w:cs="Gill Sans"/>
          <w:b/>
          <w:color w:val="1F497D"/>
        </w:rPr>
        <w:t>BBA442 Customer Relationship Management (3-0-0-3-6)</w:t>
      </w:r>
    </w:p>
    <w:p w14:paraId="7FAD90F0" w14:textId="77777777" w:rsidR="00923C67" w:rsidRDefault="007504A4">
      <w:pPr>
        <w:spacing w:after="0" w:line="240" w:lineRule="auto"/>
        <w:jc w:val="both"/>
        <w:rPr>
          <w:rFonts w:ascii="Gill Sans" w:eastAsia="Gill Sans" w:hAnsi="Gill Sans" w:cs="Gill Sans"/>
          <w:color w:val="1F497D"/>
        </w:rPr>
      </w:pPr>
      <w:r>
        <w:rPr>
          <w:rFonts w:ascii="Gill Sans" w:eastAsia="Gill Sans" w:hAnsi="Gill Sans" w:cs="Gill Sans"/>
          <w:color w:val="1F497D"/>
        </w:rPr>
        <w:t xml:space="preserve">Maximizing profitability; customer selection metrics; managing customer profitability; maximizing customer profitability; managing loyalty and profitability simultaneously; optimal allocation of resources across marketing and communication strategies; choosing the right product to the right customer at the right time; preventing attrition of customers; managing multichannel shoppers; linking investments in branding to customer profitability; acquiring profitable customers; managing customer referral behavior; organizational and implementation challenges; the future of customer management. </w:t>
      </w:r>
    </w:p>
    <w:p w14:paraId="409E527B" w14:textId="77777777" w:rsidR="00923C67" w:rsidRDefault="00923C67">
      <w:pPr>
        <w:spacing w:after="0" w:line="240" w:lineRule="auto"/>
        <w:jc w:val="both"/>
        <w:rPr>
          <w:rFonts w:ascii="Gill Sans" w:eastAsia="Gill Sans" w:hAnsi="Gill Sans" w:cs="Gill Sans"/>
          <w:color w:val="1F497D"/>
        </w:rPr>
      </w:pPr>
    </w:p>
    <w:p w14:paraId="14CF05F0" w14:textId="77777777" w:rsidR="00923C67" w:rsidRDefault="007504A4">
      <w:pPr>
        <w:spacing w:after="0" w:line="240" w:lineRule="auto"/>
        <w:jc w:val="both"/>
        <w:rPr>
          <w:rFonts w:ascii="Gill Sans" w:eastAsia="Gill Sans" w:hAnsi="Gill Sans" w:cs="Gill Sans"/>
          <w:b/>
          <w:color w:val="1F497D"/>
        </w:rPr>
      </w:pPr>
      <w:r>
        <w:rPr>
          <w:rFonts w:ascii="Gill Sans" w:eastAsia="Gill Sans" w:hAnsi="Gill Sans" w:cs="Gill Sans"/>
          <w:b/>
          <w:color w:val="1F497D"/>
        </w:rPr>
        <w:t>BBA443 Digital Marketing (3-0-0-3-6)</w:t>
      </w:r>
    </w:p>
    <w:p w14:paraId="65238614" w14:textId="77777777" w:rsidR="00923C67" w:rsidRDefault="007504A4">
      <w:pPr>
        <w:spacing w:after="0" w:line="240" w:lineRule="auto"/>
        <w:jc w:val="both"/>
        <w:rPr>
          <w:rFonts w:ascii="Gill Sans" w:eastAsia="Gill Sans" w:hAnsi="Gill Sans" w:cs="Gill Sans"/>
          <w:color w:val="1F497D"/>
        </w:rPr>
      </w:pPr>
      <w:r>
        <w:rPr>
          <w:rFonts w:ascii="Gill Sans" w:eastAsia="Gill Sans" w:hAnsi="Gill Sans" w:cs="Gill Sans"/>
          <w:color w:val="1F497D"/>
        </w:rPr>
        <w:t>Channel planning; e-mail marketing; digital display; social media; organic search (SEO); paid search (SEM); content marketing; digital marketing analytics and return on investment (ROI); digital campaigns; lead generation; web presence; landing pages; mobile marketing; creating strategies in digital platforms.</w:t>
      </w:r>
    </w:p>
    <w:p w14:paraId="235EBBD8" w14:textId="77777777" w:rsidR="006E5EF7" w:rsidRDefault="006E5EF7">
      <w:pPr>
        <w:spacing w:after="0" w:line="240" w:lineRule="auto"/>
        <w:jc w:val="both"/>
        <w:rPr>
          <w:rFonts w:ascii="Gill Sans" w:eastAsia="Gill Sans" w:hAnsi="Gill Sans" w:cs="Gill Sans"/>
          <w:color w:val="1F497D"/>
        </w:rPr>
      </w:pPr>
    </w:p>
    <w:p w14:paraId="43B9C051" w14:textId="77777777" w:rsidR="006E5EF7" w:rsidRPr="007504A4" w:rsidRDefault="006E5EF7" w:rsidP="006E5EF7">
      <w:pPr>
        <w:spacing w:after="0" w:line="240" w:lineRule="auto"/>
        <w:jc w:val="both"/>
        <w:rPr>
          <w:rFonts w:ascii="Gill Sans MT" w:hAnsi="Gill Sans MT" w:cs="Arial"/>
          <w:b/>
          <w:color w:val="1F497D" w:themeColor="text2"/>
        </w:rPr>
      </w:pPr>
      <w:r w:rsidRPr="007504A4">
        <w:rPr>
          <w:rFonts w:ascii="Gill Sans MT" w:hAnsi="Gill Sans MT" w:cs="Arial"/>
          <w:b/>
          <w:color w:val="1F497D" w:themeColor="text2"/>
        </w:rPr>
        <w:t>BBA444 New Product Development (3-0-0-3-6)</w:t>
      </w:r>
    </w:p>
    <w:p w14:paraId="4813BE3D" w14:textId="77777777" w:rsidR="006E5EF7" w:rsidRPr="00D21E8D" w:rsidRDefault="006E5EF7" w:rsidP="006E5EF7">
      <w:pPr>
        <w:spacing w:after="0" w:line="240" w:lineRule="auto"/>
        <w:jc w:val="both"/>
        <w:rPr>
          <w:rFonts w:ascii="Gill Sans" w:eastAsia="Gill Sans" w:hAnsi="Gill Sans" w:cs="Gill Sans"/>
          <w:color w:val="1F497D"/>
        </w:rPr>
      </w:pPr>
      <w:r w:rsidRPr="00D21E8D">
        <w:rPr>
          <w:rFonts w:ascii="Gill Sans" w:eastAsia="Gill Sans" w:hAnsi="Gill Sans" w:cs="Gill Sans"/>
          <w:color w:val="1F497D"/>
        </w:rPr>
        <w:t xml:space="preserve">Introduction to new product development; new product strategies; proactive new product development process; market definition and entry strategy; idea generation; perceptual mapping: identification of strategic benefits; customer needs and perceptual mapping: methods and procedures; strategic product positioning and customer preferences; benefit segmentation and product positioning; estimating sales potential; designing for quality; advertising and product testing; pretest market forecasting; test marketing; launching the product; managing through life cycle; organizing for innovation; customizing the new-product development process. </w:t>
      </w:r>
    </w:p>
    <w:p w14:paraId="11A6B6A6" w14:textId="77777777" w:rsidR="006E5EF7" w:rsidRDefault="006E5EF7">
      <w:pPr>
        <w:spacing w:after="0" w:line="240" w:lineRule="auto"/>
        <w:jc w:val="both"/>
        <w:rPr>
          <w:rFonts w:ascii="Gill Sans" w:eastAsia="Gill Sans" w:hAnsi="Gill Sans" w:cs="Gill Sans"/>
          <w:color w:val="1F497D"/>
        </w:rPr>
      </w:pPr>
    </w:p>
    <w:p w14:paraId="670EA627" w14:textId="77777777" w:rsidR="00923C67" w:rsidRDefault="007504A4">
      <w:pPr>
        <w:spacing w:after="0" w:line="240" w:lineRule="auto"/>
        <w:jc w:val="both"/>
        <w:rPr>
          <w:rFonts w:ascii="Gill Sans" w:eastAsia="Gill Sans" w:hAnsi="Gill Sans" w:cs="Gill Sans"/>
          <w:b/>
          <w:color w:val="1F497D"/>
        </w:rPr>
      </w:pPr>
      <w:r>
        <w:rPr>
          <w:rFonts w:ascii="Gill Sans" w:eastAsia="Gill Sans" w:hAnsi="Gill Sans" w:cs="Gill Sans"/>
          <w:b/>
          <w:color w:val="1F497D"/>
        </w:rPr>
        <w:t>BBA446 Sales Management (3-0-0-3-6)</w:t>
      </w:r>
    </w:p>
    <w:p w14:paraId="3809021B" w14:textId="77777777" w:rsidR="00923C67" w:rsidRDefault="007504A4">
      <w:pPr>
        <w:spacing w:after="0" w:line="240" w:lineRule="auto"/>
        <w:jc w:val="both"/>
        <w:rPr>
          <w:rFonts w:ascii="Gill Sans" w:eastAsia="Gill Sans" w:hAnsi="Gill Sans" w:cs="Gill Sans"/>
          <w:color w:val="1F497D"/>
        </w:rPr>
      </w:pPr>
      <w:r>
        <w:rPr>
          <w:rFonts w:ascii="Gill Sans" w:eastAsia="Gill Sans" w:hAnsi="Gill Sans" w:cs="Gill Sans"/>
          <w:color w:val="1F497D"/>
        </w:rPr>
        <w:t>Sales perspective; development and role of selling in marketing; sales strategies; sales environment; consumer and organizational buyer behavior; sales settings; international selling; law and issues; sales techniques; sales responsibilities and preparation; personal selling skills; key account management; relationship selling; direct marketing; internet and it applications in selling and sales management; sales management: recruitment and selection; motivation and training; organization and compensation; sales control; sales forecasting and budgeting; salesforce evaluation.</w:t>
      </w:r>
    </w:p>
    <w:p w14:paraId="4CA29AC7" w14:textId="77777777" w:rsidR="00923C67" w:rsidRDefault="00923C67">
      <w:pPr>
        <w:spacing w:after="0" w:line="240" w:lineRule="auto"/>
        <w:jc w:val="both"/>
        <w:rPr>
          <w:rFonts w:ascii="Gill Sans" w:eastAsia="Gill Sans" w:hAnsi="Gill Sans" w:cs="Gill Sans"/>
          <w:color w:val="1F497D"/>
        </w:rPr>
      </w:pPr>
    </w:p>
    <w:p w14:paraId="15189D63" w14:textId="77777777" w:rsidR="00923C67" w:rsidRDefault="007504A4">
      <w:pPr>
        <w:spacing w:after="0" w:line="240" w:lineRule="auto"/>
        <w:jc w:val="both"/>
        <w:rPr>
          <w:rFonts w:ascii="Gill Sans" w:eastAsia="Gill Sans" w:hAnsi="Gill Sans" w:cs="Gill Sans"/>
          <w:b/>
          <w:color w:val="1F497D"/>
        </w:rPr>
      </w:pPr>
      <w:r>
        <w:rPr>
          <w:rFonts w:ascii="Gill Sans" w:eastAsia="Gill Sans" w:hAnsi="Gill Sans" w:cs="Gill Sans"/>
          <w:b/>
          <w:color w:val="1F497D"/>
        </w:rPr>
        <w:t>BBA448 International Marketing (3-0-0-3-6)</w:t>
      </w:r>
    </w:p>
    <w:p w14:paraId="6C5A9150" w14:textId="77777777" w:rsidR="00923C67" w:rsidRDefault="007504A4">
      <w:pPr>
        <w:spacing w:after="0" w:line="240" w:lineRule="auto"/>
        <w:jc w:val="both"/>
        <w:rPr>
          <w:rFonts w:ascii="Gill Sans" w:eastAsia="Gill Sans" w:hAnsi="Gill Sans" w:cs="Gill Sans"/>
          <w:color w:val="1F497D"/>
        </w:rPr>
      </w:pPr>
      <w:r>
        <w:rPr>
          <w:rFonts w:ascii="Gill Sans" w:eastAsia="Gill Sans" w:hAnsi="Gill Sans" w:cs="Gill Sans"/>
          <w:color w:val="1F497D"/>
        </w:rPr>
        <w:t xml:space="preserve">Introduction to global marketing; global marketing environment; global information systems and market research; segmentation, targeting, and positioning; importing, exporting, and sourcing; global market entry strategies: licensing, investment, and strategic alliances; brand and product </w:t>
      </w:r>
      <w:r>
        <w:rPr>
          <w:rFonts w:ascii="Gill Sans" w:eastAsia="Gill Sans" w:hAnsi="Gill Sans" w:cs="Gill Sans"/>
          <w:color w:val="1F497D"/>
        </w:rPr>
        <w:lastRenderedPageBreak/>
        <w:t xml:space="preserve">decisions in global marketing; pricing decisions; global marketing channels and physical distribution; global marketing communications decisions. </w:t>
      </w:r>
    </w:p>
    <w:p w14:paraId="6985ACA9" w14:textId="77777777" w:rsidR="00923C67" w:rsidRDefault="00923C67">
      <w:pPr>
        <w:spacing w:after="0" w:line="240" w:lineRule="auto"/>
        <w:jc w:val="both"/>
        <w:rPr>
          <w:rFonts w:ascii="Gill Sans" w:eastAsia="Gill Sans" w:hAnsi="Gill Sans" w:cs="Gill Sans"/>
          <w:color w:val="1F497D"/>
        </w:rPr>
      </w:pPr>
    </w:p>
    <w:p w14:paraId="483DC050" w14:textId="77777777" w:rsidR="00923C67" w:rsidRDefault="007504A4">
      <w:pPr>
        <w:spacing w:after="0" w:line="240" w:lineRule="auto"/>
        <w:jc w:val="both"/>
        <w:rPr>
          <w:rFonts w:ascii="Gill Sans" w:eastAsia="Gill Sans" w:hAnsi="Gill Sans" w:cs="Gill Sans"/>
          <w:b/>
          <w:color w:val="1F497D"/>
        </w:rPr>
      </w:pPr>
      <w:r>
        <w:rPr>
          <w:rFonts w:ascii="Gill Sans" w:eastAsia="Gill Sans" w:hAnsi="Gill Sans" w:cs="Gill Sans"/>
          <w:b/>
          <w:color w:val="1F497D"/>
        </w:rPr>
        <w:t>BBA451 Strategic Marketing (3-0-0-3-6)</w:t>
      </w:r>
    </w:p>
    <w:p w14:paraId="04078CA4" w14:textId="77777777" w:rsidR="00923C67" w:rsidRDefault="007504A4">
      <w:pPr>
        <w:spacing w:after="0" w:line="240" w:lineRule="auto"/>
        <w:jc w:val="both"/>
        <w:rPr>
          <w:rFonts w:ascii="Gill Sans" w:eastAsia="Gill Sans" w:hAnsi="Gill Sans" w:cs="Gill Sans"/>
          <w:color w:val="1F497D"/>
        </w:rPr>
      </w:pPr>
      <w:r>
        <w:rPr>
          <w:rFonts w:ascii="Gill Sans" w:eastAsia="Gill Sans" w:hAnsi="Gill Sans" w:cs="Gill Sans"/>
          <w:color w:val="1F497D"/>
        </w:rPr>
        <w:t>Foundations of strategic marketing management; financial aspects of marketing management; marketing decision making and case analysis; opportunity analysis, market segmentation, and market targeting; product and service strategy and brand management; integrated marketing communication strategy and management; marketing channel and supply chain strategy and management; pricing strategy and management; marketing strategy reformulation: the control process; global marketing strategy and management.</w:t>
      </w:r>
    </w:p>
    <w:p w14:paraId="30AB1F4F" w14:textId="77777777" w:rsidR="00923C67" w:rsidRDefault="00923C67">
      <w:pPr>
        <w:spacing w:after="0" w:line="240" w:lineRule="auto"/>
        <w:jc w:val="both"/>
        <w:rPr>
          <w:rFonts w:ascii="Gill Sans" w:eastAsia="Gill Sans" w:hAnsi="Gill Sans" w:cs="Gill Sans"/>
          <w:b/>
          <w:color w:val="1F497D"/>
        </w:rPr>
      </w:pPr>
    </w:p>
    <w:p w14:paraId="2FDCE83A" w14:textId="77777777" w:rsidR="00923C67" w:rsidRDefault="007504A4">
      <w:pPr>
        <w:spacing w:after="0" w:line="240" w:lineRule="auto"/>
        <w:jc w:val="both"/>
        <w:rPr>
          <w:rFonts w:ascii="Gill Sans" w:eastAsia="Gill Sans" w:hAnsi="Gill Sans" w:cs="Gill Sans"/>
          <w:b/>
          <w:color w:val="1F497D"/>
        </w:rPr>
      </w:pPr>
      <w:r>
        <w:rPr>
          <w:rFonts w:ascii="Gill Sans" w:eastAsia="Gill Sans" w:hAnsi="Gill Sans" w:cs="Gill Sans"/>
          <w:b/>
          <w:color w:val="1F497D"/>
        </w:rPr>
        <w:t>BBA490 Practice in Business Environment (0-24-0-12-24)</w:t>
      </w:r>
    </w:p>
    <w:p w14:paraId="48C5BA55" w14:textId="77777777" w:rsidR="00923C67" w:rsidRDefault="007504A4">
      <w:pPr>
        <w:spacing w:after="0" w:line="240" w:lineRule="auto"/>
        <w:jc w:val="both"/>
        <w:rPr>
          <w:rFonts w:ascii="Gill Sans" w:eastAsia="Gill Sans" w:hAnsi="Gill Sans" w:cs="Gill Sans"/>
          <w:color w:val="1F497D"/>
        </w:rPr>
      </w:pPr>
      <w:r>
        <w:rPr>
          <w:rFonts w:ascii="Gill Sans" w:eastAsia="Gill Sans" w:hAnsi="Gill Sans" w:cs="Gill Sans"/>
          <w:color w:val="1F497D"/>
        </w:rPr>
        <w:t>Job orientation; work experience in the business market; opportunity to work in departments, students choose or are chosen to work; professional career before graduation; business terminology; ethics and confidentiality; business etiquette; research project; presentation of the project; handing in all compulsory documents to the academic coordinator; the opportunity for companies to expand their workforce.</w:t>
      </w:r>
    </w:p>
    <w:p w14:paraId="648A30BC" w14:textId="77777777" w:rsidR="00923C67" w:rsidRDefault="00923C67">
      <w:pPr>
        <w:spacing w:after="0" w:line="240" w:lineRule="auto"/>
        <w:jc w:val="both"/>
        <w:rPr>
          <w:rFonts w:ascii="Gill Sans" w:eastAsia="Gill Sans" w:hAnsi="Gill Sans" w:cs="Gill Sans"/>
          <w:color w:val="1F497D"/>
        </w:rPr>
      </w:pPr>
    </w:p>
    <w:p w14:paraId="247C7EAE" w14:textId="77777777" w:rsidR="00923C67" w:rsidRDefault="007504A4">
      <w:pPr>
        <w:spacing w:after="0" w:line="240" w:lineRule="auto"/>
        <w:jc w:val="both"/>
        <w:rPr>
          <w:rFonts w:ascii="Gill Sans" w:eastAsia="Gill Sans" w:hAnsi="Gill Sans" w:cs="Gill Sans"/>
          <w:b/>
          <w:color w:val="1F497D"/>
        </w:rPr>
      </w:pPr>
      <w:r>
        <w:rPr>
          <w:rFonts w:ascii="Gill Sans" w:eastAsia="Gill Sans" w:hAnsi="Gill Sans" w:cs="Gill Sans"/>
          <w:b/>
          <w:color w:val="1F497D"/>
        </w:rPr>
        <w:t>FNCE211 Managerial Economics (3-0-0-3-7)</w:t>
      </w:r>
    </w:p>
    <w:p w14:paraId="57149FA4" w14:textId="26B809A6" w:rsidR="00923C67" w:rsidRDefault="007504A4">
      <w:pPr>
        <w:spacing w:after="0" w:line="240" w:lineRule="auto"/>
        <w:jc w:val="both"/>
        <w:rPr>
          <w:rFonts w:ascii="Gill Sans" w:eastAsia="Gill Sans" w:hAnsi="Gill Sans" w:cs="Gill Sans"/>
          <w:color w:val="1F497D"/>
        </w:rPr>
      </w:pPr>
      <w:r>
        <w:rPr>
          <w:rFonts w:ascii="Gill Sans" w:eastAsia="Gill Sans" w:hAnsi="Gill Sans" w:cs="Gill Sans"/>
          <w:color w:val="1F497D"/>
        </w:rPr>
        <w:t xml:space="preserve">Budget concept and basic features, basic principles of budget and budget deviations, budgeting system, budgeting process and budget preparation, budget deviation analysis, budget applications in manufacturing sector, budget applications in service sector, budget applications in trade sector, ERP, profit planning, activity as planning </w:t>
      </w:r>
      <w:r w:rsidR="00933916">
        <w:rPr>
          <w:rFonts w:ascii="Gill Sans" w:eastAsia="Gill Sans" w:hAnsi="Gill Sans" w:cs="Gill Sans"/>
          <w:color w:val="1F497D"/>
        </w:rPr>
        <w:t>techniques-based</w:t>
      </w:r>
      <w:r>
        <w:rPr>
          <w:rFonts w:ascii="Gill Sans" w:eastAsia="Gill Sans" w:hAnsi="Gill Sans" w:cs="Gill Sans"/>
          <w:color w:val="1F497D"/>
        </w:rPr>
        <w:t xml:space="preserve"> costing.</w:t>
      </w:r>
    </w:p>
    <w:p w14:paraId="43BB9966" w14:textId="77777777" w:rsidR="00923C67" w:rsidRDefault="00923C67">
      <w:pPr>
        <w:spacing w:after="0" w:line="240" w:lineRule="auto"/>
        <w:jc w:val="both"/>
        <w:rPr>
          <w:rFonts w:ascii="Gill Sans" w:eastAsia="Gill Sans" w:hAnsi="Gill Sans" w:cs="Gill Sans"/>
          <w:color w:val="1F497D"/>
        </w:rPr>
      </w:pPr>
    </w:p>
    <w:p w14:paraId="0EF8BE57" w14:textId="77777777" w:rsidR="00923C67" w:rsidRDefault="007504A4">
      <w:pPr>
        <w:spacing w:after="0" w:line="240" w:lineRule="auto"/>
        <w:jc w:val="both"/>
        <w:rPr>
          <w:rFonts w:ascii="Gill Sans" w:eastAsia="Gill Sans" w:hAnsi="Gill Sans" w:cs="Gill Sans"/>
          <w:b/>
          <w:color w:val="1F497D"/>
        </w:rPr>
      </w:pPr>
      <w:r>
        <w:rPr>
          <w:rFonts w:ascii="Gill Sans" w:eastAsia="Gill Sans" w:hAnsi="Gill Sans" w:cs="Gill Sans"/>
          <w:b/>
          <w:color w:val="1F497D"/>
        </w:rPr>
        <w:t>FNCE301 Business Finance (3-0-0-3-6)</w:t>
      </w:r>
    </w:p>
    <w:p w14:paraId="77AAD2BD" w14:textId="77777777" w:rsidR="00923C67" w:rsidRDefault="007504A4">
      <w:pPr>
        <w:spacing w:after="0" w:line="240" w:lineRule="auto"/>
        <w:jc w:val="both"/>
        <w:rPr>
          <w:rFonts w:ascii="Gill Sans" w:eastAsia="Gill Sans" w:hAnsi="Gill Sans" w:cs="Gill Sans"/>
          <w:color w:val="1F497D"/>
        </w:rPr>
      </w:pPr>
      <w:r>
        <w:rPr>
          <w:rFonts w:ascii="Gill Sans" w:eastAsia="Gill Sans" w:hAnsi="Gill Sans" w:cs="Gill Sans"/>
          <w:color w:val="1F497D"/>
        </w:rPr>
        <w:t>Specifics of financial statements; statement of cash flows; financial statement analysis; trend analysis; horizontal and vertical analysis; financial ratio analysis; long-term financial planning; sales of percentage approach; internal and sustainable growth rates; time value of money, present and future values of multiple cash streams; annuities; perpetuities; loan amortization.</w:t>
      </w:r>
    </w:p>
    <w:p w14:paraId="6F639345" w14:textId="77777777" w:rsidR="00923C67" w:rsidRDefault="00923C67">
      <w:pPr>
        <w:spacing w:after="0" w:line="240" w:lineRule="auto"/>
        <w:jc w:val="both"/>
        <w:rPr>
          <w:rFonts w:ascii="Gill Sans" w:eastAsia="Gill Sans" w:hAnsi="Gill Sans" w:cs="Gill Sans"/>
          <w:color w:val="1F497D"/>
        </w:rPr>
      </w:pPr>
    </w:p>
    <w:p w14:paraId="5A15AC96" w14:textId="77777777" w:rsidR="00923C67" w:rsidRDefault="007504A4">
      <w:pPr>
        <w:spacing w:after="0" w:line="240" w:lineRule="auto"/>
        <w:jc w:val="both"/>
        <w:rPr>
          <w:rFonts w:ascii="Gill Sans" w:eastAsia="Gill Sans" w:hAnsi="Gill Sans" w:cs="Gill Sans"/>
          <w:b/>
          <w:color w:val="1F497D"/>
        </w:rPr>
      </w:pPr>
      <w:r>
        <w:rPr>
          <w:rFonts w:ascii="Gill Sans" w:eastAsia="Gill Sans" w:hAnsi="Gill Sans" w:cs="Gill Sans"/>
          <w:b/>
          <w:color w:val="1F497D"/>
        </w:rPr>
        <w:t>FNCE303 Financial Markets and Institutions (3-0-0-3-6)</w:t>
      </w:r>
    </w:p>
    <w:p w14:paraId="0C8ACD56" w14:textId="77777777" w:rsidR="00923C67" w:rsidRDefault="007504A4">
      <w:pPr>
        <w:spacing w:after="0" w:line="240" w:lineRule="auto"/>
        <w:jc w:val="both"/>
        <w:rPr>
          <w:rFonts w:ascii="Gill Sans" w:eastAsia="Gill Sans" w:hAnsi="Gill Sans" w:cs="Gill Sans"/>
          <w:color w:val="1F497D"/>
        </w:rPr>
      </w:pPr>
      <w:r>
        <w:rPr>
          <w:rFonts w:ascii="Gill Sans" w:eastAsia="Gill Sans" w:hAnsi="Gill Sans" w:cs="Gill Sans"/>
          <w:color w:val="1F497D"/>
        </w:rPr>
        <w:t>Overview of the financial system; specifics of financial institutions;  stylized facts about the financial environment; asymmetric information in financial markets, adverse selection and moral hazard; impact of asymmetric information on financial institutions; agency theory and dynamics of financial crisis; measuring interest rates; the money markets; the bond markets; the stock markets and the market efficiency; the mortgage markets; the foreign exchange markets; international financial institutions; financial regulation.</w:t>
      </w:r>
    </w:p>
    <w:p w14:paraId="654F550F" w14:textId="77777777" w:rsidR="00DE67C3" w:rsidRDefault="00DE67C3">
      <w:pPr>
        <w:spacing w:after="0" w:line="240" w:lineRule="auto"/>
        <w:jc w:val="both"/>
        <w:rPr>
          <w:rFonts w:ascii="Gill Sans" w:eastAsia="Gill Sans" w:hAnsi="Gill Sans" w:cs="Gill Sans"/>
          <w:color w:val="1F497D"/>
        </w:rPr>
      </w:pPr>
    </w:p>
    <w:p w14:paraId="34C0D39B" w14:textId="77777777" w:rsidR="00DE67C3" w:rsidRPr="00DE67C3" w:rsidRDefault="00DE67C3" w:rsidP="00DE67C3">
      <w:pPr>
        <w:spacing w:after="0" w:line="240" w:lineRule="auto"/>
        <w:jc w:val="both"/>
        <w:rPr>
          <w:rFonts w:ascii="Gill Sans" w:eastAsia="Gill Sans" w:hAnsi="Gill Sans" w:cs="Gill Sans"/>
          <w:b/>
          <w:bCs/>
          <w:color w:val="1F497D"/>
        </w:rPr>
      </w:pPr>
      <w:r w:rsidRPr="00DE67C3">
        <w:rPr>
          <w:rFonts w:ascii="Gill Sans" w:eastAsia="Gill Sans" w:hAnsi="Gill Sans" w:cs="Gill Sans"/>
          <w:b/>
          <w:bCs/>
          <w:color w:val="1F497D"/>
        </w:rPr>
        <w:t>FNCE304 Investment and Portfolio Management (3-0-0-3-6)</w:t>
      </w:r>
    </w:p>
    <w:p w14:paraId="6CC1B594" w14:textId="6482ADE2" w:rsidR="00DE67C3" w:rsidRDefault="00DE67C3" w:rsidP="00DE67C3">
      <w:pPr>
        <w:spacing w:after="0" w:line="240" w:lineRule="auto"/>
        <w:jc w:val="both"/>
        <w:rPr>
          <w:rFonts w:ascii="Gill Sans" w:eastAsia="Gill Sans" w:hAnsi="Gill Sans" w:cs="Gill Sans"/>
          <w:color w:val="1F497D"/>
        </w:rPr>
      </w:pPr>
      <w:r w:rsidRPr="00DE67C3">
        <w:rPr>
          <w:rFonts w:ascii="Gill Sans" w:eastAsia="Gill Sans" w:hAnsi="Gill Sans" w:cs="Gill Sans"/>
          <w:color w:val="1F497D"/>
        </w:rPr>
        <w:t>Investment environment; overview of financial instruments; security trading; initial public offerings; market orders; buying on margin; short sales; investment companies; open-end funds; closed-end funds; risk and return; risk premium; risk aversion; capital allocation line; portfolios of risky and risk-free assets; the capital market line; optimal risky portfolios; diversification; portfolios of two risky assets; minimum variance portfolio; the Markowitz portfolio selection; capital asset pricing model; arbitrage pricing theory; factor models; market efficiency; simulation application.</w:t>
      </w:r>
    </w:p>
    <w:p w14:paraId="43F423B9" w14:textId="77777777" w:rsidR="00923C67" w:rsidRDefault="00923C67">
      <w:pPr>
        <w:spacing w:after="0" w:line="240" w:lineRule="auto"/>
        <w:jc w:val="both"/>
        <w:rPr>
          <w:rFonts w:ascii="Trebuchet MS" w:eastAsia="Trebuchet MS" w:hAnsi="Trebuchet MS" w:cs="Trebuchet MS"/>
          <w:b/>
          <w:color w:val="1F497D"/>
        </w:rPr>
      </w:pPr>
    </w:p>
    <w:p w14:paraId="4CA7F6E6" w14:textId="77777777" w:rsidR="000D7453" w:rsidRDefault="000D7453">
      <w:pPr>
        <w:rPr>
          <w:rFonts w:ascii="Gill Sans" w:eastAsia="Gill Sans" w:hAnsi="Gill Sans" w:cs="Gill Sans"/>
          <w:b/>
          <w:color w:val="1F497D"/>
        </w:rPr>
      </w:pPr>
      <w:r>
        <w:rPr>
          <w:rFonts w:ascii="Gill Sans" w:eastAsia="Gill Sans" w:hAnsi="Gill Sans" w:cs="Gill Sans"/>
          <w:b/>
          <w:color w:val="1F497D"/>
        </w:rPr>
        <w:br w:type="page"/>
      </w:r>
    </w:p>
    <w:p w14:paraId="080B54FD" w14:textId="6FF2B21D" w:rsidR="00923C67" w:rsidRDefault="007504A4">
      <w:pPr>
        <w:spacing w:after="0" w:line="240" w:lineRule="auto"/>
        <w:jc w:val="both"/>
        <w:rPr>
          <w:rFonts w:ascii="Gill Sans" w:eastAsia="Gill Sans" w:hAnsi="Gill Sans" w:cs="Gill Sans"/>
          <w:b/>
          <w:color w:val="1F497D"/>
        </w:rPr>
      </w:pPr>
      <w:r>
        <w:rPr>
          <w:rFonts w:ascii="Gill Sans" w:eastAsia="Gill Sans" w:hAnsi="Gill Sans" w:cs="Gill Sans"/>
          <w:b/>
          <w:color w:val="1F497D"/>
        </w:rPr>
        <w:lastRenderedPageBreak/>
        <w:t>FNCE305 International Finance (3-0-0-3-6)</w:t>
      </w:r>
    </w:p>
    <w:p w14:paraId="35C82D27" w14:textId="77777777" w:rsidR="00923C67" w:rsidRDefault="007504A4">
      <w:pPr>
        <w:spacing w:after="0" w:line="240" w:lineRule="auto"/>
        <w:jc w:val="both"/>
        <w:rPr>
          <w:rFonts w:ascii="Gill Sans" w:eastAsia="Gill Sans" w:hAnsi="Gill Sans" w:cs="Gill Sans"/>
          <w:color w:val="1F497D"/>
        </w:rPr>
      </w:pPr>
      <w:r>
        <w:rPr>
          <w:rFonts w:ascii="Gill Sans" w:eastAsia="Gill Sans" w:hAnsi="Gill Sans" w:cs="Gill Sans"/>
          <w:color w:val="1F497D"/>
        </w:rPr>
        <w:t>Globalization of the World economy; evolution of the international monetary system; European monetary system; fixed versus flexible exchange rate regimes; Balance-of-payments accounting; balance-of-payments accounts; the foreign exchange market; the spot market and forward market; international parity relationships and forecasting foreign exchange rates; interest rate parity, purchasing power parity, the Fisher effects; international bond market; international equity market.</w:t>
      </w:r>
    </w:p>
    <w:p w14:paraId="5B78F055" w14:textId="77777777" w:rsidR="00923C67" w:rsidRDefault="00923C67">
      <w:pPr>
        <w:spacing w:after="0" w:line="240" w:lineRule="auto"/>
        <w:jc w:val="both"/>
        <w:rPr>
          <w:rFonts w:ascii="Gill Sans" w:eastAsia="Gill Sans" w:hAnsi="Gill Sans" w:cs="Gill Sans"/>
          <w:b/>
          <w:color w:val="1F497D"/>
        </w:rPr>
      </w:pPr>
    </w:p>
    <w:p w14:paraId="49A8CB70" w14:textId="77777777" w:rsidR="00923C67" w:rsidRDefault="007504A4">
      <w:pPr>
        <w:spacing w:after="0" w:line="240" w:lineRule="auto"/>
        <w:jc w:val="both"/>
        <w:rPr>
          <w:rFonts w:ascii="Gill Sans" w:eastAsia="Gill Sans" w:hAnsi="Gill Sans" w:cs="Gill Sans"/>
          <w:b/>
          <w:color w:val="1F497D"/>
        </w:rPr>
      </w:pPr>
      <w:r>
        <w:rPr>
          <w:rFonts w:ascii="Gill Sans" w:eastAsia="Gill Sans" w:hAnsi="Gill Sans" w:cs="Gill Sans"/>
          <w:b/>
          <w:color w:val="1F497D"/>
        </w:rPr>
        <w:t>FNCE306 Current Issues in Global Economy (3-0-0-3-6)</w:t>
      </w:r>
    </w:p>
    <w:p w14:paraId="785BBAB3" w14:textId="6DA1B7DA" w:rsidR="00F21E0B" w:rsidRDefault="007504A4" w:rsidP="00704A99">
      <w:pPr>
        <w:spacing w:after="0" w:line="240" w:lineRule="auto"/>
        <w:jc w:val="both"/>
        <w:rPr>
          <w:rFonts w:ascii="Gill Sans" w:eastAsia="Gill Sans" w:hAnsi="Gill Sans" w:cs="Gill Sans"/>
          <w:color w:val="1F497D"/>
        </w:rPr>
      </w:pPr>
      <w:r>
        <w:rPr>
          <w:rFonts w:ascii="Gill Sans" w:eastAsia="Gill Sans" w:hAnsi="Gill Sans" w:cs="Gill Sans"/>
          <w:color w:val="1F497D"/>
        </w:rPr>
        <w:t>Specifics of macroeconomic indicators and macroeconomic analysis; interpreting macroeconomic indicators; industry analysis; goods market; global markets; risk in international investments; interest parity condition and carry trade; the mutual fund industry; pension funds; investment banks and underwriting; dynamics of financial crisis; subprime mortgage crisis; securitization and collateralized debt obligations; financial contagion; dynamics of cross-border capital flows; global financial imbalances.</w:t>
      </w:r>
    </w:p>
    <w:p w14:paraId="41FB164E" w14:textId="77777777" w:rsidR="00704A99" w:rsidRPr="00704A99" w:rsidRDefault="00704A99" w:rsidP="00704A99">
      <w:pPr>
        <w:spacing w:after="0" w:line="240" w:lineRule="auto"/>
        <w:jc w:val="both"/>
        <w:rPr>
          <w:rFonts w:ascii="Gill Sans" w:eastAsia="Gill Sans" w:hAnsi="Gill Sans" w:cs="Gill Sans"/>
          <w:color w:val="1F497D"/>
        </w:rPr>
      </w:pPr>
    </w:p>
    <w:p w14:paraId="0EA39A4C" w14:textId="77777777" w:rsidR="00704A99" w:rsidRDefault="00F21E0B" w:rsidP="00704A99">
      <w:pPr>
        <w:spacing w:line="240" w:lineRule="auto"/>
        <w:jc w:val="both"/>
        <w:rPr>
          <w:rFonts w:ascii="Gill Sans" w:eastAsia="Gill Sans" w:hAnsi="Gill Sans" w:cs="Gill Sans"/>
          <w:b/>
          <w:color w:val="1F497D"/>
        </w:rPr>
      </w:pPr>
      <w:r>
        <w:rPr>
          <w:rFonts w:ascii="Gill Sans" w:eastAsia="Gill Sans" w:hAnsi="Gill Sans" w:cs="Gill Sans"/>
          <w:b/>
          <w:color w:val="1F497D"/>
        </w:rPr>
        <w:t>FNCE401 Global Banking Operations (3-0-0-3-6)</w:t>
      </w:r>
    </w:p>
    <w:p w14:paraId="3044A69D" w14:textId="23EB22D2" w:rsidR="00F21E0B" w:rsidRPr="00096D6A" w:rsidRDefault="00F21E0B" w:rsidP="00704A99">
      <w:pPr>
        <w:spacing w:line="240" w:lineRule="auto"/>
        <w:jc w:val="both"/>
        <w:rPr>
          <w:rFonts w:ascii="Gill Sans" w:eastAsia="Gill Sans" w:hAnsi="Gill Sans" w:cs="Gill Sans"/>
          <w:b/>
          <w:color w:val="1F497D"/>
        </w:rPr>
      </w:pPr>
      <w:r>
        <w:rPr>
          <w:rFonts w:ascii="Gill Sans" w:eastAsia="Gill Sans" w:hAnsi="Gill Sans" w:cs="Gill Sans"/>
          <w:color w:val="1F497D"/>
        </w:rPr>
        <w:t>Banking system and commercial banks; regulators and organization structure in banks; basic bank operation terms; bank accounting structure; fields of activity in banking; correspondent banking; deposits; loans; funds transfers; check processing and clearing; funds management; FX transactions; capital market transactions; foreign trade operations; internet &amp; mobile banking.</w:t>
      </w:r>
    </w:p>
    <w:p w14:paraId="5B2899F8" w14:textId="77777777" w:rsidR="00923C67" w:rsidRDefault="007504A4">
      <w:pPr>
        <w:spacing w:after="0" w:line="240" w:lineRule="auto"/>
        <w:jc w:val="both"/>
        <w:rPr>
          <w:rFonts w:ascii="Gill Sans" w:eastAsia="Gill Sans" w:hAnsi="Gill Sans" w:cs="Gill Sans"/>
          <w:b/>
          <w:color w:val="1F497D"/>
        </w:rPr>
      </w:pPr>
      <w:r>
        <w:rPr>
          <w:rFonts w:ascii="Gill Sans" w:eastAsia="Gill Sans" w:hAnsi="Gill Sans" w:cs="Gill Sans"/>
          <w:b/>
          <w:color w:val="1F497D"/>
        </w:rPr>
        <w:t>FNCE421 Turkish Economy (3-0-0-3-6)</w:t>
      </w:r>
    </w:p>
    <w:p w14:paraId="3FA7932A" w14:textId="77777777" w:rsidR="00923C67" w:rsidRDefault="007504A4">
      <w:pPr>
        <w:spacing w:after="0" w:line="240" w:lineRule="auto"/>
        <w:jc w:val="both"/>
        <w:rPr>
          <w:rFonts w:ascii="Gill Sans" w:eastAsia="Gill Sans" w:hAnsi="Gill Sans" w:cs="Gill Sans"/>
          <w:color w:val="1F497D"/>
        </w:rPr>
      </w:pPr>
      <w:r>
        <w:rPr>
          <w:rFonts w:ascii="Gill Sans" w:eastAsia="Gill Sans" w:hAnsi="Gill Sans" w:cs="Gill Sans"/>
          <w:color w:val="1F497D"/>
        </w:rPr>
        <w:t>The structure of the Turkish economy during the Republican period; Specifically, industrial evolution of the economy with a focus on migration, manufacturing, expanding trade and multilateral relations; employment of the skilled and unskilled labor force and changing demographics; the evolution of the structure and institutions of Turkish economy; growth, production, trade and distribution patterns; evolution of economic policy and current economic issues; examination and evaluation of the developments in Turkish economy using the basic economic concepts and tools; investigation of the post-1980 Turkish economy with emphasis on current policy issues and future prospects.</w:t>
      </w:r>
    </w:p>
    <w:p w14:paraId="2B4C3678" w14:textId="77777777" w:rsidR="0024310F" w:rsidRDefault="0024310F">
      <w:pPr>
        <w:spacing w:after="0" w:line="240" w:lineRule="auto"/>
        <w:jc w:val="both"/>
        <w:rPr>
          <w:rFonts w:ascii="Gill Sans" w:eastAsia="Gill Sans" w:hAnsi="Gill Sans" w:cs="Gill Sans"/>
          <w:color w:val="1F497D"/>
        </w:rPr>
      </w:pPr>
    </w:p>
    <w:p w14:paraId="267739F2" w14:textId="77777777" w:rsidR="00923C67" w:rsidRDefault="007504A4">
      <w:pPr>
        <w:spacing w:after="0" w:line="240" w:lineRule="auto"/>
        <w:jc w:val="both"/>
        <w:rPr>
          <w:rFonts w:ascii="Gill Sans" w:eastAsia="Gill Sans" w:hAnsi="Gill Sans" w:cs="Gill Sans"/>
          <w:b/>
          <w:color w:val="1F497D"/>
        </w:rPr>
      </w:pPr>
      <w:r>
        <w:rPr>
          <w:rFonts w:ascii="Gill Sans" w:eastAsia="Gill Sans" w:hAnsi="Gill Sans" w:cs="Gill Sans"/>
          <w:b/>
          <w:color w:val="1F497D"/>
        </w:rPr>
        <w:t>FNCE422 Energy Economics (3-0-0-3-6)</w:t>
      </w:r>
    </w:p>
    <w:p w14:paraId="46F6D0A8" w14:textId="77777777" w:rsidR="00923C67" w:rsidRDefault="007504A4">
      <w:pPr>
        <w:spacing w:after="0" w:line="240" w:lineRule="auto"/>
        <w:jc w:val="both"/>
        <w:rPr>
          <w:rFonts w:ascii="Gill Sans" w:eastAsia="Gill Sans" w:hAnsi="Gill Sans" w:cs="Gill Sans"/>
          <w:color w:val="1F497D"/>
        </w:rPr>
      </w:pPr>
      <w:r>
        <w:rPr>
          <w:rFonts w:ascii="Gill Sans" w:eastAsia="Gill Sans" w:hAnsi="Gill Sans" w:cs="Gill Sans"/>
          <w:color w:val="1F497D"/>
        </w:rPr>
        <w:t>Introduction to energy markets; the distinction between primary and secondary energy; the distinction and relationship between domestic and international energy markets, coal markets, oil markets, natural gas markets, electricity markets; structures of the energy markets; price dynamics; market regulation; investment in energy markets; competition in energy markets; trade in energy; energy dependency and energy security issues; energy policies and their effects on the market structure and price dynamics global warming, energy-climate controversies.</w:t>
      </w:r>
    </w:p>
    <w:p w14:paraId="67DE1976" w14:textId="77777777" w:rsidR="00E873B1" w:rsidRDefault="00E873B1">
      <w:pPr>
        <w:spacing w:after="0" w:line="240" w:lineRule="auto"/>
        <w:jc w:val="both"/>
        <w:rPr>
          <w:rFonts w:ascii="Gill Sans" w:eastAsia="Gill Sans" w:hAnsi="Gill Sans" w:cs="Gill Sans"/>
          <w:color w:val="1F497D"/>
        </w:rPr>
      </w:pPr>
    </w:p>
    <w:p w14:paraId="4AFE845D" w14:textId="77777777" w:rsidR="00E873B1" w:rsidRDefault="00E873B1" w:rsidP="00E873B1">
      <w:pPr>
        <w:spacing w:after="0" w:line="240" w:lineRule="auto"/>
        <w:jc w:val="both"/>
        <w:rPr>
          <w:rFonts w:ascii="Gill Sans" w:eastAsia="Gill Sans" w:hAnsi="Gill Sans" w:cs="Gill Sans"/>
          <w:b/>
          <w:color w:val="1F497D"/>
        </w:rPr>
      </w:pPr>
      <w:r>
        <w:rPr>
          <w:rFonts w:ascii="Gill Sans" w:eastAsia="Gill Sans" w:hAnsi="Gill Sans" w:cs="Gill Sans"/>
          <w:b/>
          <w:color w:val="1F497D"/>
        </w:rPr>
        <w:t>IRL101 Introduction to Political Science (3-0-0-3-7)</w:t>
      </w:r>
    </w:p>
    <w:p w14:paraId="2128C605" w14:textId="77777777" w:rsidR="00E873B1" w:rsidRDefault="00E873B1" w:rsidP="00E873B1">
      <w:pPr>
        <w:spacing w:after="0" w:line="240" w:lineRule="auto"/>
        <w:jc w:val="both"/>
        <w:rPr>
          <w:rFonts w:ascii="Gill Sans" w:eastAsia="Gill Sans" w:hAnsi="Gill Sans" w:cs="Gill Sans"/>
          <w:color w:val="1F497D"/>
        </w:rPr>
      </w:pPr>
      <w:r>
        <w:rPr>
          <w:rFonts w:ascii="Gill Sans" w:eastAsia="Gill Sans" w:hAnsi="Gill Sans" w:cs="Gill Sans"/>
          <w:color w:val="1F497D"/>
        </w:rPr>
        <w:t xml:space="preserve">Politics vs. political science; state and nation; state and society; power, authority and sovereignty; democracy and legitimacy; political ideologies; democratic systems; authoritarian and totalitarian systems; executive, legislature and judiciary; bureaucracy, military, interest groups and non-state actors; social movements; regional and international organizations; globalization and the future of the nation state. </w:t>
      </w:r>
    </w:p>
    <w:p w14:paraId="2F78DE8D" w14:textId="77777777" w:rsidR="00E873B1" w:rsidRDefault="00E873B1">
      <w:pPr>
        <w:spacing w:after="0" w:line="240" w:lineRule="auto"/>
        <w:jc w:val="both"/>
        <w:rPr>
          <w:rFonts w:ascii="Gill Sans" w:eastAsia="Gill Sans" w:hAnsi="Gill Sans" w:cs="Gill Sans"/>
          <w:color w:val="1F497D"/>
        </w:rPr>
      </w:pPr>
    </w:p>
    <w:p w14:paraId="3C54C16A" w14:textId="77777777" w:rsidR="000D7453" w:rsidRDefault="000D7453">
      <w:pPr>
        <w:rPr>
          <w:rFonts w:ascii="Gill Sans" w:eastAsia="Gill Sans" w:hAnsi="Gill Sans" w:cs="Gill Sans"/>
          <w:b/>
          <w:color w:val="1F497D"/>
        </w:rPr>
      </w:pPr>
      <w:r>
        <w:rPr>
          <w:rFonts w:ascii="Gill Sans" w:eastAsia="Gill Sans" w:hAnsi="Gill Sans" w:cs="Gill Sans"/>
          <w:b/>
          <w:color w:val="1F497D"/>
        </w:rPr>
        <w:br w:type="page"/>
      </w:r>
    </w:p>
    <w:p w14:paraId="2AD247A7" w14:textId="62B7B2D7" w:rsidR="00E873B1" w:rsidRDefault="00E873B1" w:rsidP="00E873B1">
      <w:pPr>
        <w:spacing w:after="0" w:line="240" w:lineRule="auto"/>
        <w:jc w:val="both"/>
        <w:rPr>
          <w:rFonts w:ascii="Gill Sans" w:eastAsia="Gill Sans" w:hAnsi="Gill Sans" w:cs="Gill Sans"/>
          <w:b/>
          <w:color w:val="1F497D"/>
        </w:rPr>
      </w:pPr>
      <w:r>
        <w:rPr>
          <w:rFonts w:ascii="Gill Sans" w:eastAsia="Gill Sans" w:hAnsi="Gill Sans" w:cs="Gill Sans"/>
          <w:b/>
          <w:color w:val="1F497D"/>
        </w:rPr>
        <w:lastRenderedPageBreak/>
        <w:t>IRL201 History of Political Thought (3-0-0-3-6)</w:t>
      </w:r>
    </w:p>
    <w:p w14:paraId="60139E2B" w14:textId="77777777" w:rsidR="00E873B1" w:rsidRDefault="00E873B1" w:rsidP="00E873B1">
      <w:pPr>
        <w:spacing w:after="0" w:line="240" w:lineRule="auto"/>
        <w:jc w:val="both"/>
        <w:rPr>
          <w:rFonts w:ascii="Gill Sans" w:eastAsia="Gill Sans" w:hAnsi="Gill Sans" w:cs="Gill Sans"/>
          <w:color w:val="1F497D"/>
        </w:rPr>
      </w:pPr>
      <w:r>
        <w:rPr>
          <w:rFonts w:ascii="Gill Sans" w:eastAsia="Gill Sans" w:hAnsi="Gill Sans" w:cs="Gill Sans"/>
          <w:color w:val="1F497D"/>
        </w:rPr>
        <w:t>Thucydides, Socrates, Plato and Aristotle; Renaissance and Reform; Machiavelli; Enlightenment; Montesquieu; Social Contract; Hobbes, Locke, Rousseau; Wollstonecraft; Marx and Engels; John Stuart Mill.</w:t>
      </w:r>
    </w:p>
    <w:p w14:paraId="0140B7A8" w14:textId="77777777" w:rsidR="00E873B1" w:rsidRDefault="00E873B1">
      <w:pPr>
        <w:spacing w:after="0" w:line="240" w:lineRule="auto"/>
        <w:jc w:val="both"/>
        <w:rPr>
          <w:rFonts w:ascii="Gill Sans" w:eastAsia="Gill Sans" w:hAnsi="Gill Sans" w:cs="Gill Sans"/>
          <w:color w:val="1F497D"/>
        </w:rPr>
      </w:pPr>
    </w:p>
    <w:p w14:paraId="28246425" w14:textId="77777777" w:rsidR="00E873B1" w:rsidRDefault="00E873B1" w:rsidP="00E873B1">
      <w:pPr>
        <w:spacing w:after="0" w:line="240" w:lineRule="auto"/>
        <w:jc w:val="both"/>
        <w:rPr>
          <w:rFonts w:ascii="Gill Sans" w:eastAsia="Gill Sans" w:hAnsi="Gill Sans" w:cs="Gill Sans"/>
          <w:b/>
          <w:color w:val="1F497D"/>
        </w:rPr>
      </w:pPr>
      <w:r>
        <w:rPr>
          <w:rFonts w:ascii="Gill Sans" w:eastAsia="Gill Sans" w:hAnsi="Gill Sans" w:cs="Gill Sans"/>
          <w:b/>
          <w:color w:val="1F497D"/>
        </w:rPr>
        <w:t>IRL206 Dynamics of World Politics (3-0-0-3-6)</w:t>
      </w:r>
    </w:p>
    <w:p w14:paraId="1722A67A" w14:textId="77777777" w:rsidR="00E873B1" w:rsidRDefault="00E873B1" w:rsidP="00E873B1">
      <w:pPr>
        <w:spacing w:after="0" w:line="240" w:lineRule="auto"/>
        <w:jc w:val="both"/>
        <w:rPr>
          <w:rFonts w:ascii="Gill Sans" w:eastAsia="Gill Sans" w:hAnsi="Gill Sans" w:cs="Gill Sans"/>
          <w:color w:val="1F497D"/>
        </w:rPr>
      </w:pPr>
      <w:r>
        <w:rPr>
          <w:rFonts w:ascii="Gill Sans" w:eastAsia="Gill Sans" w:hAnsi="Gill Sans" w:cs="Gill Sans"/>
          <w:color w:val="1F497D"/>
        </w:rPr>
        <w:t>Development of the European state system; Key actors in International Relations; Transnational communities, supranational identities; Contemporary Inter-state Conflicts; Construction and the sources of international law.</w:t>
      </w:r>
    </w:p>
    <w:p w14:paraId="31370E17" w14:textId="77777777" w:rsidR="00E873B1" w:rsidRDefault="00E873B1">
      <w:pPr>
        <w:spacing w:after="0" w:line="240" w:lineRule="auto"/>
        <w:jc w:val="both"/>
        <w:rPr>
          <w:rFonts w:ascii="Gill Sans" w:eastAsia="Gill Sans" w:hAnsi="Gill Sans" w:cs="Gill Sans"/>
          <w:color w:val="1F497D"/>
        </w:rPr>
      </w:pPr>
    </w:p>
    <w:p w14:paraId="033EC326" w14:textId="77777777" w:rsidR="00E873B1" w:rsidRDefault="00E873B1" w:rsidP="00E873B1">
      <w:pPr>
        <w:spacing w:after="0" w:line="240" w:lineRule="auto"/>
        <w:jc w:val="both"/>
        <w:rPr>
          <w:rFonts w:ascii="Gill Sans" w:eastAsia="Gill Sans" w:hAnsi="Gill Sans" w:cs="Gill Sans"/>
          <w:b/>
          <w:color w:val="1F497D"/>
        </w:rPr>
      </w:pPr>
      <w:r>
        <w:rPr>
          <w:rFonts w:ascii="Gill Sans" w:eastAsia="Gill Sans" w:hAnsi="Gill Sans" w:cs="Gill Sans"/>
          <w:b/>
          <w:color w:val="1F497D"/>
        </w:rPr>
        <w:t>IRL311 History of Politics in Turkey I (3-0-0-3-6)</w:t>
      </w:r>
    </w:p>
    <w:p w14:paraId="19D13983" w14:textId="77777777" w:rsidR="00E873B1" w:rsidRDefault="00E873B1" w:rsidP="00E873B1">
      <w:pPr>
        <w:spacing w:after="0" w:line="240" w:lineRule="auto"/>
        <w:jc w:val="both"/>
        <w:rPr>
          <w:rFonts w:ascii="Gill Sans" w:eastAsia="Gill Sans" w:hAnsi="Gill Sans" w:cs="Gill Sans"/>
          <w:color w:val="1F497D"/>
        </w:rPr>
      </w:pPr>
      <w:r>
        <w:rPr>
          <w:rFonts w:ascii="Gill Sans" w:eastAsia="Gill Sans" w:hAnsi="Gill Sans" w:cs="Gill Sans"/>
          <w:color w:val="1F497D"/>
        </w:rPr>
        <w:t xml:space="preserve">Ottoman social and political structure in the premodern era; Reforms in the Ottoman Empire in the 18th and 19th century; Political modernization  in the Ottoman Empire (1839-1908); Young Turks and the transition from empire to republic (1908-1923); </w:t>
      </w:r>
      <w:proofErr w:type="spellStart"/>
      <w:r>
        <w:rPr>
          <w:rFonts w:ascii="Gill Sans" w:eastAsia="Gill Sans" w:hAnsi="Gill Sans" w:cs="Gill Sans"/>
          <w:color w:val="1F497D"/>
        </w:rPr>
        <w:t>Kemalism</w:t>
      </w:r>
      <w:proofErr w:type="spellEnd"/>
      <w:r>
        <w:rPr>
          <w:rFonts w:ascii="Gill Sans" w:eastAsia="Gill Sans" w:hAnsi="Gill Sans" w:cs="Gill Sans"/>
          <w:color w:val="1F497D"/>
        </w:rPr>
        <w:t xml:space="preserve"> and socio-political change in the early republican period (1923-1938); </w:t>
      </w:r>
      <w:proofErr w:type="spellStart"/>
      <w:r>
        <w:rPr>
          <w:color w:val="1F497D"/>
        </w:rPr>
        <w:t>İ</w:t>
      </w:r>
      <w:r>
        <w:rPr>
          <w:rFonts w:ascii="Gill Sans" w:eastAsia="Gill Sans" w:hAnsi="Gill Sans" w:cs="Gill Sans"/>
          <w:color w:val="1F497D"/>
        </w:rPr>
        <w:t>nönü</w:t>
      </w:r>
      <w:proofErr w:type="spellEnd"/>
      <w:r>
        <w:rPr>
          <w:rFonts w:ascii="Gill Sans" w:eastAsia="Gill Sans" w:hAnsi="Gill Sans" w:cs="Gill Sans"/>
          <w:color w:val="1F497D"/>
        </w:rPr>
        <w:t xml:space="preserve"> Era and the transition to democracy (1938-1950); Democrat Party and “populist” democracy (1950-1960); May 27 military coup and political movements in the 1960s; center-periphery debate in Turkish politics.</w:t>
      </w:r>
    </w:p>
    <w:p w14:paraId="098660DD" w14:textId="77777777" w:rsidR="00E873B1" w:rsidRDefault="00E873B1">
      <w:pPr>
        <w:spacing w:after="0" w:line="240" w:lineRule="auto"/>
        <w:jc w:val="both"/>
        <w:rPr>
          <w:rFonts w:ascii="Gill Sans" w:eastAsia="Gill Sans" w:hAnsi="Gill Sans" w:cs="Gill Sans"/>
          <w:color w:val="1F497D"/>
        </w:rPr>
      </w:pPr>
    </w:p>
    <w:p w14:paraId="0C86EBD9" w14:textId="77777777" w:rsidR="00E873B1" w:rsidRDefault="00E873B1" w:rsidP="00E873B1">
      <w:pPr>
        <w:spacing w:after="0" w:line="240" w:lineRule="auto"/>
        <w:jc w:val="both"/>
        <w:rPr>
          <w:rFonts w:ascii="Gill Sans" w:eastAsia="Gill Sans" w:hAnsi="Gill Sans" w:cs="Gill Sans"/>
          <w:b/>
          <w:color w:val="1F497D"/>
        </w:rPr>
      </w:pPr>
      <w:r>
        <w:rPr>
          <w:rFonts w:ascii="Gill Sans" w:eastAsia="Gill Sans" w:hAnsi="Gill Sans" w:cs="Gill Sans"/>
          <w:b/>
          <w:color w:val="1F497D"/>
        </w:rPr>
        <w:t>IRL312 History of Politics in Turkey II (3-0-0-3-6)</w:t>
      </w:r>
    </w:p>
    <w:p w14:paraId="2F129570" w14:textId="77777777" w:rsidR="00E873B1" w:rsidRDefault="00E873B1" w:rsidP="00E873B1">
      <w:pPr>
        <w:spacing w:after="0" w:line="240" w:lineRule="auto"/>
        <w:jc w:val="both"/>
        <w:rPr>
          <w:rFonts w:ascii="Gill Sans" w:eastAsia="Gill Sans" w:hAnsi="Gill Sans" w:cs="Gill Sans"/>
          <w:color w:val="1F497D"/>
        </w:rPr>
      </w:pPr>
      <w:r>
        <w:rPr>
          <w:rFonts w:ascii="Gill Sans" w:eastAsia="Gill Sans" w:hAnsi="Gill Sans" w:cs="Gill Sans"/>
          <w:color w:val="1F497D"/>
        </w:rPr>
        <w:t xml:space="preserve">March 12 military intervention and economic; political crisis in the 1970s; September 12 coup, the </w:t>
      </w:r>
      <w:proofErr w:type="spellStart"/>
      <w:r>
        <w:rPr>
          <w:rFonts w:ascii="Gill Sans" w:eastAsia="Gill Sans" w:hAnsi="Gill Sans" w:cs="Gill Sans"/>
          <w:color w:val="1F497D"/>
        </w:rPr>
        <w:t>Özal</w:t>
      </w:r>
      <w:proofErr w:type="spellEnd"/>
      <w:r>
        <w:rPr>
          <w:rFonts w:ascii="Gill Sans" w:eastAsia="Gill Sans" w:hAnsi="Gill Sans" w:cs="Gill Sans"/>
          <w:color w:val="1F497D"/>
        </w:rPr>
        <w:t xml:space="preserve"> era and after (1980-2002); Turkish politics since the JDP’s rise to power (2002- ), Nationalism and ethnic identity in Turkey; the Kurdish issue in Turkey, political Islam and secularism, civil society and social movements; space politics in Turkey, popular culture and its relation to politics.</w:t>
      </w:r>
    </w:p>
    <w:p w14:paraId="76FBA69A" w14:textId="77777777" w:rsidR="00E873B1" w:rsidRDefault="00E873B1" w:rsidP="00E873B1">
      <w:pPr>
        <w:spacing w:after="0" w:line="240" w:lineRule="auto"/>
        <w:jc w:val="both"/>
        <w:rPr>
          <w:rFonts w:ascii="Gill Sans" w:eastAsia="Gill Sans" w:hAnsi="Gill Sans" w:cs="Gill Sans"/>
          <w:color w:val="1F497D"/>
        </w:rPr>
      </w:pPr>
    </w:p>
    <w:p w14:paraId="5D0D96F8" w14:textId="77777777" w:rsidR="00E873B1" w:rsidRDefault="00E873B1" w:rsidP="00E873B1">
      <w:pPr>
        <w:spacing w:after="0" w:line="240" w:lineRule="auto"/>
        <w:jc w:val="both"/>
        <w:rPr>
          <w:rFonts w:ascii="Gill Sans" w:eastAsia="Gill Sans" w:hAnsi="Gill Sans" w:cs="Gill Sans"/>
          <w:b/>
          <w:color w:val="1F497D"/>
        </w:rPr>
      </w:pPr>
      <w:r>
        <w:rPr>
          <w:rFonts w:ascii="Gill Sans" w:eastAsia="Gill Sans" w:hAnsi="Gill Sans" w:cs="Gill Sans"/>
          <w:b/>
          <w:color w:val="1F497D"/>
        </w:rPr>
        <w:t>IRL412 - Power and Inequality (3-0-0-3-6)</w:t>
      </w:r>
    </w:p>
    <w:p w14:paraId="6D65847A" w14:textId="77777777" w:rsidR="00E873B1" w:rsidRDefault="00E873B1" w:rsidP="00E873B1">
      <w:pPr>
        <w:spacing w:after="0" w:line="240" w:lineRule="auto"/>
        <w:jc w:val="both"/>
        <w:rPr>
          <w:rFonts w:ascii="Gill Sans" w:eastAsia="Gill Sans" w:hAnsi="Gill Sans" w:cs="Gill Sans"/>
          <w:color w:val="1F497D"/>
        </w:rPr>
      </w:pPr>
      <w:r>
        <w:rPr>
          <w:rFonts w:ascii="Gill Sans" w:eastAsia="Gill Sans" w:hAnsi="Gill Sans" w:cs="Gill Sans"/>
          <w:color w:val="1F497D"/>
        </w:rPr>
        <w:t xml:space="preserve">Defining power; faces of power; sources of power; defining equality; dimensions of inequality; political inequality; economic inequality; theories of social class; gender inequality; feminist theories; ethnic and racial inequality; multiple faces of inequality; creating an equal society. </w:t>
      </w:r>
    </w:p>
    <w:p w14:paraId="2B022660" w14:textId="77777777" w:rsidR="00E873B1" w:rsidRDefault="00E873B1">
      <w:pPr>
        <w:spacing w:after="0" w:line="240" w:lineRule="auto"/>
        <w:jc w:val="both"/>
        <w:rPr>
          <w:rFonts w:ascii="Gill Sans" w:eastAsia="Gill Sans" w:hAnsi="Gill Sans" w:cs="Gill Sans"/>
          <w:color w:val="1F497D"/>
        </w:rPr>
      </w:pPr>
    </w:p>
    <w:p w14:paraId="4CC7A616" w14:textId="77777777" w:rsidR="00E873B1" w:rsidRDefault="00E873B1" w:rsidP="00E873B1">
      <w:pPr>
        <w:spacing w:after="0" w:line="240" w:lineRule="auto"/>
        <w:jc w:val="both"/>
        <w:rPr>
          <w:rFonts w:ascii="Gill Sans" w:eastAsia="Gill Sans" w:hAnsi="Gill Sans" w:cs="Gill Sans"/>
          <w:b/>
          <w:color w:val="1F497D"/>
        </w:rPr>
      </w:pPr>
      <w:r>
        <w:rPr>
          <w:rFonts w:ascii="Gill Sans" w:eastAsia="Gill Sans" w:hAnsi="Gill Sans" w:cs="Gill Sans"/>
          <w:b/>
          <w:color w:val="1F497D"/>
        </w:rPr>
        <w:t>IRL414 Politics and Film (3-0-0-3-6)</w:t>
      </w:r>
    </w:p>
    <w:p w14:paraId="223B84D8" w14:textId="77777777" w:rsidR="00E873B1" w:rsidRDefault="00E873B1" w:rsidP="00E873B1">
      <w:pPr>
        <w:spacing w:after="0" w:line="240" w:lineRule="auto"/>
        <w:jc w:val="both"/>
        <w:rPr>
          <w:rFonts w:ascii="Gill Sans" w:eastAsia="Gill Sans" w:hAnsi="Gill Sans" w:cs="Gill Sans"/>
          <w:color w:val="1F497D"/>
        </w:rPr>
      </w:pPr>
      <w:r>
        <w:rPr>
          <w:rFonts w:ascii="Gill Sans" w:eastAsia="Gill Sans" w:hAnsi="Gill Sans" w:cs="Gill Sans"/>
          <w:color w:val="1F497D"/>
        </w:rPr>
        <w:t>The Relationships between Politics and Film; Politics in Movies; Film as a Medium for Illustrating, Defending, and Challenging Political Ideas; Critical Content Analysis; Film and Totalitarianism; Film and Colonialism; Anti-Colonialism; Film and Violence; Film and Gender.</w:t>
      </w:r>
    </w:p>
    <w:p w14:paraId="714CE2D1" w14:textId="77777777" w:rsidR="00704A99" w:rsidRDefault="00704A99" w:rsidP="00E873B1">
      <w:pPr>
        <w:spacing w:after="0" w:line="240" w:lineRule="auto"/>
        <w:jc w:val="both"/>
        <w:rPr>
          <w:rFonts w:ascii="Gill Sans" w:eastAsia="Gill Sans" w:hAnsi="Gill Sans" w:cs="Gill Sans"/>
          <w:b/>
          <w:color w:val="1F497D"/>
        </w:rPr>
      </w:pPr>
    </w:p>
    <w:p w14:paraId="39ECD0D4" w14:textId="5819CFFC" w:rsidR="00E873B1" w:rsidRDefault="00E873B1" w:rsidP="00E873B1">
      <w:pPr>
        <w:spacing w:after="0" w:line="240" w:lineRule="auto"/>
        <w:jc w:val="both"/>
        <w:rPr>
          <w:rFonts w:ascii="Gill Sans" w:eastAsia="Gill Sans" w:hAnsi="Gill Sans" w:cs="Gill Sans"/>
          <w:b/>
          <w:color w:val="1F497D"/>
        </w:rPr>
      </w:pPr>
      <w:r>
        <w:rPr>
          <w:rFonts w:ascii="Gill Sans" w:eastAsia="Gill Sans" w:hAnsi="Gill Sans" w:cs="Gill Sans"/>
          <w:b/>
          <w:color w:val="1F497D"/>
        </w:rPr>
        <w:t>IRL426 Political Parties in Turkey (3-0-0-3-6)</w:t>
      </w:r>
    </w:p>
    <w:p w14:paraId="4D143500" w14:textId="1B420EA1" w:rsidR="00E873B1" w:rsidRDefault="00E873B1" w:rsidP="00E873B1">
      <w:pPr>
        <w:spacing w:after="0" w:line="240" w:lineRule="auto"/>
        <w:jc w:val="both"/>
        <w:rPr>
          <w:rFonts w:ascii="Gill Sans" w:eastAsia="Gill Sans" w:hAnsi="Gill Sans" w:cs="Gill Sans"/>
          <w:color w:val="1F497D"/>
        </w:rPr>
      </w:pPr>
      <w:r>
        <w:rPr>
          <w:rFonts w:ascii="Gill Sans" w:eastAsia="Gill Sans" w:hAnsi="Gill Sans" w:cs="Gill Sans"/>
          <w:color w:val="1F497D"/>
        </w:rPr>
        <w:t xml:space="preserve">Political Parties in Turkey since 1908; 1923 Revolution; Single Party Rule; Passage to Multi-Party System; Constitutions and Political Party Laws; Societal Change and Political Parties; Local Politics and Political Parties.   </w:t>
      </w:r>
    </w:p>
    <w:p w14:paraId="3C378B6E" w14:textId="77777777" w:rsidR="00E873B1" w:rsidRDefault="00E873B1">
      <w:pPr>
        <w:spacing w:after="0" w:line="240" w:lineRule="auto"/>
        <w:jc w:val="both"/>
        <w:rPr>
          <w:rFonts w:ascii="Gill Sans" w:eastAsia="Gill Sans" w:hAnsi="Gill Sans" w:cs="Gill Sans"/>
          <w:color w:val="1F497D"/>
        </w:rPr>
      </w:pPr>
    </w:p>
    <w:p w14:paraId="1D0DA8C0" w14:textId="77777777" w:rsidR="00E873B1" w:rsidRDefault="00E873B1" w:rsidP="00E873B1">
      <w:pPr>
        <w:spacing w:after="0" w:line="240" w:lineRule="auto"/>
        <w:jc w:val="both"/>
        <w:rPr>
          <w:rFonts w:ascii="Gill Sans" w:eastAsia="Gill Sans" w:hAnsi="Gill Sans" w:cs="Gill Sans"/>
          <w:b/>
          <w:color w:val="1F497D"/>
        </w:rPr>
      </w:pPr>
      <w:r>
        <w:rPr>
          <w:rFonts w:ascii="Gill Sans" w:eastAsia="Gill Sans" w:hAnsi="Gill Sans" w:cs="Gill Sans"/>
          <w:b/>
          <w:color w:val="1F497D"/>
        </w:rPr>
        <w:t>IRL432 American Foreign Policy (3-0-0-3-6)</w:t>
      </w:r>
    </w:p>
    <w:p w14:paraId="300F9815" w14:textId="2DA657D3" w:rsidR="00E873B1" w:rsidRDefault="00E873B1" w:rsidP="00E873B1">
      <w:pPr>
        <w:spacing w:after="0" w:line="240" w:lineRule="auto"/>
        <w:jc w:val="both"/>
        <w:rPr>
          <w:rFonts w:ascii="Gill Sans" w:eastAsia="Gill Sans" w:hAnsi="Gill Sans" w:cs="Gill Sans"/>
          <w:color w:val="1F497D"/>
        </w:rPr>
      </w:pPr>
      <w:r>
        <w:rPr>
          <w:rFonts w:ascii="Gill Sans" w:eastAsia="Gill Sans" w:hAnsi="Gill Sans" w:cs="Gill Sans"/>
          <w:color w:val="1F497D"/>
        </w:rPr>
        <w:t>The History of the Cold War; International sources of American foreign policy; Domestic sources of American foreign policy; Bureaucratic Politics and Organizational sources of American foreign policy; Ideological sources of American foreign policy; Individuals and Perceptions as sources of American foreign policy.</w:t>
      </w:r>
    </w:p>
    <w:p w14:paraId="05AF8B69" w14:textId="77777777" w:rsidR="00923C67" w:rsidRDefault="00923C67">
      <w:pPr>
        <w:spacing w:after="0" w:line="240" w:lineRule="auto"/>
        <w:jc w:val="both"/>
        <w:rPr>
          <w:rFonts w:ascii="Gill Sans" w:eastAsia="Gill Sans" w:hAnsi="Gill Sans" w:cs="Gill Sans"/>
          <w:color w:val="1F497D"/>
        </w:rPr>
      </w:pPr>
    </w:p>
    <w:p w14:paraId="28BFF9E7" w14:textId="77777777" w:rsidR="000D7453" w:rsidRDefault="000D7453">
      <w:pPr>
        <w:rPr>
          <w:rFonts w:ascii="Gill Sans" w:eastAsia="Gill Sans" w:hAnsi="Gill Sans" w:cs="Gill Sans"/>
          <w:b/>
          <w:color w:val="1F497D"/>
        </w:rPr>
      </w:pPr>
      <w:r>
        <w:rPr>
          <w:rFonts w:ascii="Gill Sans" w:eastAsia="Gill Sans" w:hAnsi="Gill Sans" w:cs="Gill Sans"/>
          <w:b/>
          <w:color w:val="1F497D"/>
        </w:rPr>
        <w:br w:type="page"/>
      </w:r>
    </w:p>
    <w:p w14:paraId="0FE1C60A" w14:textId="1A8CDB26" w:rsidR="00E873B1" w:rsidRDefault="00E873B1" w:rsidP="00E873B1">
      <w:pPr>
        <w:spacing w:after="0" w:line="240" w:lineRule="auto"/>
        <w:jc w:val="both"/>
        <w:rPr>
          <w:rFonts w:ascii="Gill Sans" w:eastAsia="Gill Sans" w:hAnsi="Gill Sans" w:cs="Gill Sans"/>
          <w:b/>
          <w:color w:val="1F497D"/>
        </w:rPr>
      </w:pPr>
      <w:r>
        <w:rPr>
          <w:rFonts w:ascii="Gill Sans" w:eastAsia="Gill Sans" w:hAnsi="Gill Sans" w:cs="Gill Sans"/>
          <w:b/>
          <w:color w:val="1F497D"/>
        </w:rPr>
        <w:lastRenderedPageBreak/>
        <w:t>IRL435 Democratization (3-0-0-3-6)</w:t>
      </w:r>
    </w:p>
    <w:p w14:paraId="63771FE8" w14:textId="77777777" w:rsidR="00E873B1" w:rsidRDefault="00E873B1" w:rsidP="00E873B1">
      <w:pPr>
        <w:spacing w:after="0" w:line="240" w:lineRule="auto"/>
        <w:jc w:val="both"/>
        <w:rPr>
          <w:rFonts w:ascii="Gill Sans" w:eastAsia="Gill Sans" w:hAnsi="Gill Sans" w:cs="Gill Sans"/>
          <w:color w:val="1F497D"/>
        </w:rPr>
      </w:pPr>
      <w:r>
        <w:rPr>
          <w:rFonts w:ascii="Gill Sans" w:eastAsia="Gill Sans" w:hAnsi="Gill Sans" w:cs="Gill Sans"/>
          <w:color w:val="1F497D"/>
        </w:rPr>
        <w:t xml:space="preserve">Democracy and Its Arenas; Completed Consolidations; Southern Europe; Transitions; Latin America; Post-Communist Europe. </w:t>
      </w:r>
    </w:p>
    <w:p w14:paraId="33DBBCAB" w14:textId="77777777" w:rsidR="00E873B1" w:rsidRDefault="00E873B1">
      <w:pPr>
        <w:spacing w:after="0" w:line="240" w:lineRule="auto"/>
        <w:jc w:val="both"/>
        <w:rPr>
          <w:rFonts w:ascii="Gill Sans" w:eastAsia="Gill Sans" w:hAnsi="Gill Sans" w:cs="Gill Sans"/>
          <w:color w:val="1F497D"/>
        </w:rPr>
      </w:pPr>
    </w:p>
    <w:p w14:paraId="02E851B7" w14:textId="77777777" w:rsidR="00E873B1" w:rsidRDefault="00E873B1" w:rsidP="00E873B1">
      <w:pPr>
        <w:spacing w:after="0" w:line="240" w:lineRule="auto"/>
        <w:jc w:val="both"/>
        <w:rPr>
          <w:rFonts w:ascii="Gill Sans" w:eastAsia="Gill Sans" w:hAnsi="Gill Sans" w:cs="Gill Sans"/>
          <w:b/>
          <w:color w:val="1F497D"/>
        </w:rPr>
      </w:pPr>
      <w:r>
        <w:rPr>
          <w:rFonts w:ascii="Gill Sans" w:eastAsia="Gill Sans" w:hAnsi="Gill Sans" w:cs="Gill Sans"/>
          <w:b/>
          <w:color w:val="1F497D"/>
        </w:rPr>
        <w:t>IRL437 Gender and Politics (3-0-0-3-6)</w:t>
      </w:r>
    </w:p>
    <w:p w14:paraId="2593914E" w14:textId="77777777" w:rsidR="00E873B1" w:rsidRDefault="00E873B1" w:rsidP="00E873B1">
      <w:pPr>
        <w:spacing w:after="0" w:line="240" w:lineRule="auto"/>
        <w:jc w:val="both"/>
        <w:rPr>
          <w:rFonts w:ascii="Gill Sans" w:eastAsia="Gill Sans" w:hAnsi="Gill Sans" w:cs="Gill Sans"/>
          <w:color w:val="1F497D"/>
        </w:rPr>
      </w:pPr>
      <w:r>
        <w:rPr>
          <w:rFonts w:ascii="Gill Sans" w:eastAsia="Gill Sans" w:hAnsi="Gill Sans" w:cs="Gill Sans"/>
          <w:color w:val="1F497D"/>
        </w:rPr>
        <w:t>Gender and Politics; Gender and Patriarchy; Feminisms; The Control of Sexuality and Population in Traditional and Modern Societies; Gender and Representation; Gender, Citizenship and Nation-State; Gender and Islam; Women, Work and the Global Market; Gender and Political Participation.</w:t>
      </w:r>
    </w:p>
    <w:p w14:paraId="293A1D2E" w14:textId="77777777" w:rsidR="00E873B1" w:rsidRDefault="00E873B1" w:rsidP="00E873B1">
      <w:pPr>
        <w:spacing w:after="0" w:line="240" w:lineRule="auto"/>
        <w:jc w:val="both"/>
        <w:rPr>
          <w:rFonts w:ascii="Gill Sans" w:eastAsia="Gill Sans" w:hAnsi="Gill Sans" w:cs="Gill Sans"/>
          <w:color w:val="1F497D"/>
        </w:rPr>
      </w:pPr>
    </w:p>
    <w:p w14:paraId="7B82BD8D" w14:textId="77777777" w:rsidR="00E873B1" w:rsidRDefault="00E873B1" w:rsidP="00E873B1">
      <w:pPr>
        <w:spacing w:after="0" w:line="240" w:lineRule="auto"/>
        <w:jc w:val="both"/>
        <w:rPr>
          <w:rFonts w:ascii="Gill Sans" w:eastAsia="Gill Sans" w:hAnsi="Gill Sans" w:cs="Gill Sans"/>
          <w:b/>
          <w:color w:val="1F497D"/>
        </w:rPr>
      </w:pPr>
      <w:r>
        <w:rPr>
          <w:rFonts w:ascii="Gill Sans" w:eastAsia="Gill Sans" w:hAnsi="Gill Sans" w:cs="Gill Sans"/>
          <w:b/>
          <w:color w:val="1F497D"/>
        </w:rPr>
        <w:t>IRL446 Turkey and the European Union (3-0-0-3-6)</w:t>
      </w:r>
    </w:p>
    <w:p w14:paraId="61AEB6A4" w14:textId="77777777" w:rsidR="00E873B1" w:rsidRDefault="00E873B1" w:rsidP="00E873B1">
      <w:pPr>
        <w:spacing w:after="0" w:line="240" w:lineRule="auto"/>
        <w:jc w:val="both"/>
        <w:rPr>
          <w:rFonts w:ascii="Gill Sans" w:eastAsia="Gill Sans" w:hAnsi="Gill Sans" w:cs="Gill Sans"/>
          <w:color w:val="1F497D"/>
        </w:rPr>
      </w:pPr>
      <w:r>
        <w:rPr>
          <w:rFonts w:ascii="Gill Sans" w:eastAsia="Gill Sans" w:hAnsi="Gill Sans" w:cs="Gill Sans"/>
          <w:color w:val="1F497D"/>
        </w:rPr>
        <w:t xml:space="preserve">Turkish-European relations from 1959 to 1974; Turkey and European Economic Community between 1974 and 1989; Union of Europe, 1991 Maastricht Agreement; </w:t>
      </w:r>
      <w:proofErr w:type="spellStart"/>
      <w:r>
        <w:rPr>
          <w:rFonts w:ascii="Gill Sans" w:eastAsia="Gill Sans" w:hAnsi="Gill Sans" w:cs="Gill Sans"/>
          <w:color w:val="1F497D"/>
        </w:rPr>
        <w:t>Copenhaguen</w:t>
      </w:r>
      <w:proofErr w:type="spellEnd"/>
      <w:r>
        <w:rPr>
          <w:rFonts w:ascii="Gill Sans" w:eastAsia="Gill Sans" w:hAnsi="Gill Sans" w:cs="Gill Sans"/>
          <w:color w:val="1F497D"/>
        </w:rPr>
        <w:t xml:space="preserve"> Criteria and the Customs Union; Luxembourg Summit; Negotiating with the EU. </w:t>
      </w:r>
    </w:p>
    <w:p w14:paraId="73E06750" w14:textId="77777777" w:rsidR="00E873B1" w:rsidRDefault="00E873B1">
      <w:pPr>
        <w:spacing w:after="0" w:line="240" w:lineRule="auto"/>
        <w:jc w:val="both"/>
        <w:rPr>
          <w:rFonts w:ascii="Gill Sans" w:eastAsia="Gill Sans" w:hAnsi="Gill Sans" w:cs="Gill Sans"/>
          <w:color w:val="1F497D"/>
        </w:rPr>
      </w:pPr>
    </w:p>
    <w:p w14:paraId="53C1E5C5" w14:textId="77777777" w:rsidR="00704A99" w:rsidRDefault="00704A99" w:rsidP="00704A99">
      <w:pPr>
        <w:spacing w:after="0" w:line="240" w:lineRule="auto"/>
        <w:jc w:val="both"/>
        <w:rPr>
          <w:rFonts w:ascii="Gill Sans" w:eastAsia="Gill Sans" w:hAnsi="Gill Sans" w:cs="Gill Sans"/>
          <w:b/>
          <w:color w:val="1F497D"/>
        </w:rPr>
      </w:pPr>
      <w:r>
        <w:rPr>
          <w:rFonts w:ascii="Gill Sans" w:eastAsia="Gill Sans" w:hAnsi="Gill Sans" w:cs="Gill Sans"/>
          <w:b/>
          <w:color w:val="1F497D"/>
        </w:rPr>
        <w:t>IRL471 Chinese Foreign Policy and Asian Security (3-0-0-3-6)</w:t>
      </w:r>
    </w:p>
    <w:p w14:paraId="509888E9" w14:textId="77777777" w:rsidR="00704A99" w:rsidRDefault="00704A99" w:rsidP="00704A99">
      <w:pPr>
        <w:spacing w:after="0" w:line="240" w:lineRule="auto"/>
        <w:jc w:val="both"/>
        <w:rPr>
          <w:rFonts w:ascii="Gill Sans" w:eastAsia="Gill Sans" w:hAnsi="Gill Sans" w:cs="Gill Sans"/>
          <w:color w:val="1F497D"/>
        </w:rPr>
      </w:pPr>
      <w:r>
        <w:rPr>
          <w:rFonts w:ascii="Gill Sans" w:eastAsia="Gill Sans" w:hAnsi="Gill Sans" w:cs="Gill Sans"/>
          <w:color w:val="1F497D"/>
        </w:rPr>
        <w:t>History of China; Identity of China; Sino-American Relations; Sino-Russian Relations; China’s Energy Policy and Security Problems in Asia; Chinese Policy towards Central Asia; Chinese Policy towards Africa; Chinese Foreign Policy and North East Asian Security; China, ASEAN and South East Asia; Chinese Soft Power; Multilateralism and International Institutions; China’s Peaceful Foreign Policy Discourse against US Hegemony.</w:t>
      </w:r>
    </w:p>
    <w:p w14:paraId="06C94464" w14:textId="77777777" w:rsidR="00704A99" w:rsidRDefault="00704A99" w:rsidP="00704A99">
      <w:pPr>
        <w:spacing w:after="0" w:line="240" w:lineRule="auto"/>
        <w:jc w:val="both"/>
        <w:rPr>
          <w:rFonts w:ascii="Gill Sans" w:eastAsia="Gill Sans" w:hAnsi="Gill Sans" w:cs="Gill Sans"/>
          <w:color w:val="1F497D"/>
        </w:rPr>
      </w:pPr>
    </w:p>
    <w:p w14:paraId="72515976" w14:textId="77777777" w:rsidR="00704A99" w:rsidRDefault="00704A99" w:rsidP="00704A99">
      <w:pPr>
        <w:spacing w:after="0" w:line="240" w:lineRule="auto"/>
        <w:jc w:val="both"/>
        <w:rPr>
          <w:rFonts w:ascii="Gill Sans" w:eastAsia="Gill Sans" w:hAnsi="Gill Sans" w:cs="Gill Sans"/>
          <w:b/>
          <w:color w:val="1F497D"/>
        </w:rPr>
      </w:pPr>
      <w:r>
        <w:rPr>
          <w:rFonts w:ascii="Gill Sans" w:eastAsia="Gill Sans" w:hAnsi="Gill Sans" w:cs="Gill Sans"/>
          <w:b/>
          <w:color w:val="1F497D"/>
        </w:rPr>
        <w:t>IRL472 Politics and Literature (3-0-0-3-6)</w:t>
      </w:r>
    </w:p>
    <w:p w14:paraId="35E1F95B" w14:textId="77777777" w:rsidR="00704A99" w:rsidRDefault="00704A99" w:rsidP="00704A99">
      <w:pPr>
        <w:spacing w:after="0" w:line="240" w:lineRule="auto"/>
        <w:jc w:val="both"/>
        <w:rPr>
          <w:rFonts w:ascii="Gill Sans" w:eastAsia="Gill Sans" w:hAnsi="Gill Sans" w:cs="Gill Sans"/>
          <w:color w:val="1F497D"/>
        </w:rPr>
      </w:pPr>
      <w:r>
        <w:rPr>
          <w:rFonts w:ascii="Gill Sans" w:eastAsia="Gill Sans" w:hAnsi="Gill Sans" w:cs="Gill Sans"/>
          <w:color w:val="1F497D"/>
        </w:rPr>
        <w:t>The Relationships between Politics and Literature; Politics in Literature; Critical Content Analysis; Literature and Authoritarianism; Literature and Totalitarianism; Literature and Anarchism; Literature and Capitalism; Literature and Militarism; Literature and Racism.</w:t>
      </w:r>
    </w:p>
    <w:p w14:paraId="3927EAB5" w14:textId="77777777" w:rsidR="00704A99" w:rsidRDefault="00704A99" w:rsidP="00704A99">
      <w:pPr>
        <w:spacing w:after="0" w:line="240" w:lineRule="auto"/>
        <w:jc w:val="both"/>
        <w:rPr>
          <w:rFonts w:ascii="Gill Sans" w:eastAsia="Gill Sans" w:hAnsi="Gill Sans" w:cs="Gill Sans"/>
          <w:color w:val="1F497D"/>
        </w:rPr>
      </w:pPr>
    </w:p>
    <w:p w14:paraId="4B63E2A4" w14:textId="77777777" w:rsidR="00704A99" w:rsidRDefault="00704A99" w:rsidP="00704A99">
      <w:pPr>
        <w:spacing w:after="0" w:line="240" w:lineRule="auto"/>
        <w:jc w:val="both"/>
        <w:rPr>
          <w:rFonts w:ascii="Gill Sans" w:eastAsia="Gill Sans" w:hAnsi="Gill Sans" w:cs="Gill Sans"/>
          <w:b/>
          <w:color w:val="1F497D"/>
        </w:rPr>
      </w:pPr>
      <w:r>
        <w:rPr>
          <w:rFonts w:ascii="Gill Sans" w:eastAsia="Gill Sans" w:hAnsi="Gill Sans" w:cs="Gill Sans"/>
          <w:b/>
          <w:color w:val="1F497D"/>
        </w:rPr>
        <w:t>IRL474 Nationalism and Identity Politics (3-0-0-3-6)</w:t>
      </w:r>
    </w:p>
    <w:p w14:paraId="51FA92F5" w14:textId="6463C97B" w:rsidR="00704A99" w:rsidRDefault="00704A99" w:rsidP="00704A99">
      <w:pPr>
        <w:spacing w:after="0" w:line="240" w:lineRule="auto"/>
        <w:jc w:val="both"/>
        <w:rPr>
          <w:rFonts w:ascii="Gill Sans" w:eastAsia="Gill Sans" w:hAnsi="Gill Sans" w:cs="Gill Sans"/>
          <w:color w:val="002060"/>
        </w:rPr>
      </w:pPr>
      <w:r>
        <w:rPr>
          <w:rFonts w:ascii="Gill Sans" w:eastAsia="Gill Sans" w:hAnsi="Gill Sans" w:cs="Gill Sans"/>
          <w:color w:val="002060"/>
        </w:rPr>
        <w:t xml:space="preserve">Historical Overview of Nationalism; Primordial Studies in Nationalism Literature; Modernist Approaches to Nationalism: Economic and Political and Social Transformations; Ernest Gellner’s Approaches; Benedict Anderson and Nationalism; Miroslav </w:t>
      </w:r>
      <w:proofErr w:type="spellStart"/>
      <w:r>
        <w:rPr>
          <w:rFonts w:ascii="Gill Sans" w:eastAsia="Gill Sans" w:hAnsi="Gill Sans" w:cs="Gill Sans"/>
          <w:color w:val="002060"/>
        </w:rPr>
        <w:t>Hroch</w:t>
      </w:r>
      <w:proofErr w:type="spellEnd"/>
      <w:r>
        <w:rPr>
          <w:rFonts w:ascii="Gill Sans" w:eastAsia="Gill Sans" w:hAnsi="Gill Sans" w:cs="Gill Sans"/>
          <w:color w:val="002060"/>
        </w:rPr>
        <w:t xml:space="preserve"> and Nationalism; </w:t>
      </w:r>
      <w:proofErr w:type="spellStart"/>
      <w:r>
        <w:rPr>
          <w:rFonts w:ascii="Gill Sans" w:eastAsia="Gill Sans" w:hAnsi="Gill Sans" w:cs="Gill Sans"/>
          <w:color w:val="002060"/>
        </w:rPr>
        <w:t>Ethnosymbolist</w:t>
      </w:r>
      <w:proofErr w:type="spellEnd"/>
      <w:r>
        <w:rPr>
          <w:rFonts w:ascii="Gill Sans" w:eastAsia="Gill Sans" w:hAnsi="Gill Sans" w:cs="Gill Sans"/>
          <w:color w:val="002060"/>
        </w:rPr>
        <w:t xml:space="preserve"> Approaches to Nationalism; Ethno-nationalism and its Critiques; New Approaches to Nationalism; A Critique of Nationalism Studies.</w:t>
      </w:r>
    </w:p>
    <w:p w14:paraId="14E491A1" w14:textId="77777777" w:rsidR="00704A99" w:rsidRDefault="00704A99" w:rsidP="00704A99">
      <w:pPr>
        <w:spacing w:after="0" w:line="240" w:lineRule="auto"/>
        <w:jc w:val="both"/>
        <w:rPr>
          <w:rFonts w:ascii="Gill Sans" w:eastAsia="Gill Sans" w:hAnsi="Gill Sans" w:cs="Gill Sans"/>
          <w:b/>
          <w:color w:val="002060"/>
        </w:rPr>
      </w:pPr>
    </w:p>
    <w:p w14:paraId="1FB3920D" w14:textId="77777777" w:rsidR="00704A99" w:rsidRDefault="00704A99" w:rsidP="00704A99">
      <w:pPr>
        <w:spacing w:after="0" w:line="240" w:lineRule="auto"/>
        <w:jc w:val="both"/>
        <w:rPr>
          <w:rFonts w:ascii="Gill Sans" w:eastAsia="Gill Sans" w:hAnsi="Gill Sans" w:cs="Gill Sans"/>
          <w:b/>
          <w:color w:val="1F497D"/>
        </w:rPr>
      </w:pPr>
      <w:r>
        <w:rPr>
          <w:rFonts w:ascii="Gill Sans" w:eastAsia="Gill Sans" w:hAnsi="Gill Sans" w:cs="Gill Sans"/>
          <w:b/>
          <w:color w:val="1F497D"/>
        </w:rPr>
        <w:t>IRL476 Politics and Society in Europe (3-0-0-3-6)</w:t>
      </w:r>
    </w:p>
    <w:p w14:paraId="46F6B7EA" w14:textId="77777777" w:rsidR="00704A99" w:rsidRDefault="00704A99" w:rsidP="00704A99">
      <w:pPr>
        <w:spacing w:after="0" w:line="240" w:lineRule="auto"/>
        <w:jc w:val="both"/>
        <w:rPr>
          <w:rFonts w:ascii="Gill Sans" w:eastAsia="Gill Sans" w:hAnsi="Gill Sans" w:cs="Gill Sans"/>
          <w:color w:val="1F497D"/>
        </w:rPr>
      </w:pPr>
      <w:r>
        <w:rPr>
          <w:rFonts w:ascii="Gill Sans" w:eastAsia="Gill Sans" w:hAnsi="Gill Sans" w:cs="Gill Sans"/>
          <w:color w:val="1F497D"/>
        </w:rPr>
        <w:t>Europe as a Region; Historical Overview of Europe; Europe and European Culture; European Political Integration; Europe and Religion; Europe and Modernity; Europe and Democracy; Europe and the Nation-State.</w:t>
      </w:r>
    </w:p>
    <w:p w14:paraId="7338592C" w14:textId="77777777" w:rsidR="00704A99" w:rsidRDefault="00704A99">
      <w:pPr>
        <w:spacing w:after="0" w:line="240" w:lineRule="auto"/>
        <w:jc w:val="both"/>
        <w:rPr>
          <w:rFonts w:ascii="Gill Sans" w:eastAsia="Gill Sans" w:hAnsi="Gill Sans" w:cs="Gill Sans"/>
          <w:color w:val="1F497D"/>
        </w:rPr>
      </w:pPr>
    </w:p>
    <w:p w14:paraId="27A17C60" w14:textId="77777777" w:rsidR="00923C67" w:rsidRDefault="007504A4">
      <w:pPr>
        <w:spacing w:after="0" w:line="240" w:lineRule="auto"/>
        <w:jc w:val="both"/>
        <w:rPr>
          <w:rFonts w:ascii="Gill Sans" w:eastAsia="Gill Sans" w:hAnsi="Gill Sans" w:cs="Gill Sans"/>
          <w:color w:val="1F497D"/>
        </w:rPr>
      </w:pPr>
      <w:r>
        <w:rPr>
          <w:rFonts w:ascii="Gill Sans" w:eastAsia="Gill Sans" w:hAnsi="Gill Sans" w:cs="Gill Sans"/>
          <w:b/>
          <w:color w:val="1F497D"/>
        </w:rPr>
        <w:t>ITRD201 Fundamentals of International Trade (3-0-0-3-6)</w:t>
      </w:r>
    </w:p>
    <w:p w14:paraId="792D48B6" w14:textId="77777777" w:rsidR="00923C67" w:rsidRDefault="007504A4">
      <w:pPr>
        <w:spacing w:after="0" w:line="240" w:lineRule="auto"/>
        <w:jc w:val="both"/>
        <w:rPr>
          <w:rFonts w:ascii="Gill Sans" w:eastAsia="Gill Sans" w:hAnsi="Gill Sans" w:cs="Gill Sans"/>
          <w:color w:val="1F497D"/>
        </w:rPr>
      </w:pPr>
      <w:r>
        <w:rPr>
          <w:rFonts w:ascii="Gill Sans" w:eastAsia="Gill Sans" w:hAnsi="Gill Sans" w:cs="Gill Sans"/>
          <w:color w:val="1F497D"/>
        </w:rPr>
        <w:t>Export-import definitions; customs area; who can make foreign trade; foreign trade commitments; HS code; customs declaration; cash- currency separation; foreign trade terms of delivery; foreign trade pricing; terms of payment; international trade documents; international trade permits.</w:t>
      </w:r>
    </w:p>
    <w:p w14:paraId="594B6627" w14:textId="77777777" w:rsidR="00923C67" w:rsidRDefault="00923C67">
      <w:pPr>
        <w:spacing w:after="0" w:line="240" w:lineRule="auto"/>
        <w:jc w:val="both"/>
        <w:rPr>
          <w:rFonts w:ascii="Gill Sans" w:eastAsia="Gill Sans" w:hAnsi="Gill Sans" w:cs="Gill Sans"/>
          <w:color w:val="1F497D"/>
        </w:rPr>
      </w:pPr>
    </w:p>
    <w:p w14:paraId="3C9ABFB5" w14:textId="618402B5" w:rsidR="00923C67" w:rsidRDefault="007504A4">
      <w:pPr>
        <w:spacing w:after="0" w:line="240" w:lineRule="auto"/>
        <w:jc w:val="both"/>
        <w:rPr>
          <w:rFonts w:ascii="Gill Sans" w:eastAsia="Gill Sans" w:hAnsi="Gill Sans" w:cs="Gill Sans"/>
          <w:b/>
          <w:color w:val="1F497D"/>
        </w:rPr>
      </w:pPr>
      <w:r>
        <w:rPr>
          <w:rFonts w:ascii="Gill Sans" w:eastAsia="Gill Sans" w:hAnsi="Gill Sans" w:cs="Gill Sans"/>
          <w:b/>
          <w:color w:val="1F497D"/>
        </w:rPr>
        <w:t>ITRD202 International Trade (3-0-0-3-6)</w:t>
      </w:r>
    </w:p>
    <w:p w14:paraId="17B95EEB" w14:textId="77777777" w:rsidR="00923C67" w:rsidRDefault="007504A4">
      <w:pPr>
        <w:spacing w:after="0" w:line="240" w:lineRule="auto"/>
        <w:jc w:val="both"/>
        <w:rPr>
          <w:rFonts w:ascii="Gill Sans" w:eastAsia="Gill Sans" w:hAnsi="Gill Sans" w:cs="Gill Sans"/>
          <w:color w:val="1F497D"/>
        </w:rPr>
      </w:pPr>
      <w:r>
        <w:rPr>
          <w:rFonts w:ascii="Gill Sans" w:eastAsia="Gill Sans" w:hAnsi="Gill Sans" w:cs="Gill Sans"/>
          <w:color w:val="1F497D"/>
        </w:rPr>
        <w:t>Megatrends in international trade; organizations responsible from foreign trade in Turkey; important databases used in foreign trade; import and export legislation in Turkey; T-types of export; export workflow; import legislation; import workflow; protection measures; ICC 600; ICC 522.</w:t>
      </w:r>
    </w:p>
    <w:p w14:paraId="37A94AD4" w14:textId="77777777" w:rsidR="00923C67" w:rsidRDefault="007504A4">
      <w:pPr>
        <w:spacing w:after="0" w:line="240" w:lineRule="auto"/>
        <w:jc w:val="both"/>
        <w:rPr>
          <w:rFonts w:ascii="Gill Sans" w:eastAsia="Gill Sans" w:hAnsi="Gill Sans" w:cs="Gill Sans"/>
          <w:b/>
          <w:color w:val="1F497D"/>
        </w:rPr>
      </w:pPr>
      <w:r>
        <w:rPr>
          <w:rFonts w:ascii="Gill Sans" w:eastAsia="Gill Sans" w:hAnsi="Gill Sans" w:cs="Gill Sans"/>
          <w:b/>
          <w:color w:val="1F497D"/>
        </w:rPr>
        <w:lastRenderedPageBreak/>
        <w:t>ITRD205 Trade Negotiations (3-0-0-3-6)</w:t>
      </w:r>
    </w:p>
    <w:p w14:paraId="74A880DA" w14:textId="77777777" w:rsidR="00923C67" w:rsidRDefault="007504A4">
      <w:pPr>
        <w:spacing w:after="0" w:line="240" w:lineRule="auto"/>
        <w:jc w:val="both"/>
        <w:rPr>
          <w:rFonts w:ascii="Gill Sans" w:eastAsia="Gill Sans" w:hAnsi="Gill Sans" w:cs="Gill Sans"/>
          <w:color w:val="1F497D"/>
        </w:rPr>
      </w:pPr>
      <w:r>
        <w:rPr>
          <w:rFonts w:ascii="Gill Sans" w:eastAsia="Gill Sans" w:hAnsi="Gill Sans" w:cs="Gill Sans"/>
          <w:color w:val="1F497D"/>
        </w:rPr>
        <w:t>International trade environment; Turkish economy and business culture; international institutions which support international trade; role of HR in international trade; sales organization; business communication; definition of negotiation; management of sales, negotiation and communication; understanding role of marketing; learning sales strategies; understanding sales environment; understanding consumer and corporate purchase process;  targeting sales strategies;  understanding responsibilities of sales and preparing.</w:t>
      </w:r>
    </w:p>
    <w:p w14:paraId="0FBEDE6E" w14:textId="77777777" w:rsidR="00D21E8D" w:rsidRDefault="00D21E8D" w:rsidP="00D21E8D">
      <w:pPr>
        <w:spacing w:after="0" w:line="240" w:lineRule="auto"/>
        <w:jc w:val="both"/>
        <w:rPr>
          <w:rFonts w:ascii="Gill Sans" w:eastAsia="Gill Sans" w:hAnsi="Gill Sans" w:cs="Gill Sans"/>
          <w:color w:val="1F497D"/>
        </w:rPr>
      </w:pPr>
    </w:p>
    <w:p w14:paraId="2867D510" w14:textId="77777777" w:rsidR="00D21E8D" w:rsidRDefault="00D21E8D" w:rsidP="00D21E8D">
      <w:pPr>
        <w:spacing w:after="0" w:line="240" w:lineRule="auto"/>
        <w:jc w:val="both"/>
        <w:rPr>
          <w:rFonts w:ascii="Gill Sans" w:eastAsia="Gill Sans" w:hAnsi="Gill Sans" w:cs="Gill Sans"/>
          <w:b/>
          <w:color w:val="1F497D"/>
        </w:rPr>
      </w:pPr>
      <w:r>
        <w:rPr>
          <w:rFonts w:ascii="Gill Sans" w:eastAsia="Gill Sans" w:hAnsi="Gill Sans" w:cs="Gill Sans"/>
          <w:b/>
          <w:color w:val="1F497D"/>
        </w:rPr>
        <w:t>ITRD301 International Trade Models (3-0-0-3-6)</w:t>
      </w:r>
    </w:p>
    <w:p w14:paraId="32659C02" w14:textId="63356B56" w:rsidR="00D21E8D" w:rsidRDefault="00D21E8D" w:rsidP="00D21E8D">
      <w:pPr>
        <w:spacing w:after="0" w:line="240" w:lineRule="auto"/>
        <w:jc w:val="both"/>
        <w:rPr>
          <w:rFonts w:ascii="Gill Sans" w:eastAsia="Gill Sans" w:hAnsi="Gill Sans" w:cs="Gill Sans"/>
          <w:color w:val="1F497D"/>
        </w:rPr>
      </w:pPr>
      <w:r>
        <w:rPr>
          <w:rFonts w:ascii="Gill Sans" w:eastAsia="Gill Sans" w:hAnsi="Gill Sans" w:cs="Gill Sans"/>
          <w:color w:val="1F497D"/>
        </w:rPr>
        <w:t>International trade theories: absolute advantage; comparative advantage; Hecksher-Ohlin (HO) model; Rybczynski theorem; Factor price equalization theorem; Stolper-Samuelson theorem; Leontief paradox; human skills theory; product life cycle theory; similarity of preferences theory; intra-industry trade; new trade theory; international finance: the balance of payments; the foreign exchange market; international monetary systems.</w:t>
      </w:r>
    </w:p>
    <w:p w14:paraId="7F64233A" w14:textId="77777777" w:rsidR="00923C67" w:rsidRDefault="00923C67">
      <w:pPr>
        <w:spacing w:after="0" w:line="240" w:lineRule="auto"/>
        <w:jc w:val="both"/>
        <w:rPr>
          <w:rFonts w:ascii="Gill Sans" w:eastAsia="Gill Sans" w:hAnsi="Gill Sans" w:cs="Gill Sans"/>
          <w:color w:val="1F497D"/>
        </w:rPr>
      </w:pPr>
    </w:p>
    <w:p w14:paraId="3FA867F9" w14:textId="77777777" w:rsidR="00923C67" w:rsidRDefault="007504A4">
      <w:pPr>
        <w:spacing w:after="0" w:line="240" w:lineRule="auto"/>
        <w:jc w:val="both"/>
        <w:rPr>
          <w:rFonts w:ascii="Gill Sans" w:eastAsia="Gill Sans" w:hAnsi="Gill Sans" w:cs="Gill Sans"/>
          <w:b/>
          <w:color w:val="1F497D"/>
        </w:rPr>
      </w:pPr>
      <w:r>
        <w:rPr>
          <w:rFonts w:ascii="Gill Sans" w:eastAsia="Gill Sans" w:hAnsi="Gill Sans" w:cs="Gill Sans"/>
          <w:b/>
          <w:color w:val="1F497D"/>
        </w:rPr>
        <w:t>ITRD303 Import and Export Management (3-0-0-3-6)</w:t>
      </w:r>
    </w:p>
    <w:p w14:paraId="3AA997B2" w14:textId="77777777" w:rsidR="00923C67" w:rsidRDefault="007504A4">
      <w:pPr>
        <w:spacing w:after="0" w:line="240" w:lineRule="auto"/>
        <w:jc w:val="both"/>
        <w:rPr>
          <w:rFonts w:ascii="Gill Sans" w:eastAsia="Gill Sans" w:hAnsi="Gill Sans" w:cs="Gill Sans"/>
          <w:color w:val="1F497D"/>
        </w:rPr>
      </w:pPr>
      <w:r>
        <w:rPr>
          <w:rFonts w:ascii="Gill Sans" w:eastAsia="Gill Sans" w:hAnsi="Gill Sans" w:cs="Gill Sans"/>
          <w:color w:val="1F497D"/>
        </w:rPr>
        <w:t xml:space="preserve">The characteristics of being an exporter an importer in Turkey from the economic point of view; </w:t>
      </w:r>
      <w:r>
        <w:rPr>
          <w:rFonts w:ascii="Gill Sans" w:eastAsia="Gill Sans" w:hAnsi="Gill Sans" w:cs="Gill Sans"/>
          <w:color w:val="1F497D"/>
        </w:rPr>
        <w:br/>
        <w:t>import and export based management strategy development; strategy types; value chain analysis; export marketing planning and strategy development; export marketing planning process; evaluating export readiness of Turkish SMEs; B2B and B2C  market segmentation; selecting export destinations by using market selection techniques; pricing issues; deciding on market entry strategy and channels; developing sales and distributor contracts; developing new products and; or adaptation for new export markets; developing marketing communication tools; using delivery and payment terms; using state aids for foreign trade operations.</w:t>
      </w:r>
    </w:p>
    <w:p w14:paraId="172D5225" w14:textId="77777777" w:rsidR="00923C67" w:rsidRDefault="00923C67">
      <w:pPr>
        <w:spacing w:after="0" w:line="240" w:lineRule="auto"/>
        <w:jc w:val="both"/>
        <w:rPr>
          <w:rFonts w:ascii="Gill Sans" w:eastAsia="Gill Sans" w:hAnsi="Gill Sans" w:cs="Gill Sans"/>
          <w:color w:val="1F497D"/>
        </w:rPr>
      </w:pPr>
    </w:p>
    <w:p w14:paraId="40B51E0C" w14:textId="77777777" w:rsidR="00923C67" w:rsidRDefault="007504A4">
      <w:pPr>
        <w:spacing w:after="0" w:line="240" w:lineRule="auto"/>
        <w:jc w:val="both"/>
        <w:rPr>
          <w:rFonts w:ascii="Gill Sans" w:eastAsia="Gill Sans" w:hAnsi="Gill Sans" w:cs="Gill Sans"/>
          <w:b/>
          <w:color w:val="1F497D"/>
        </w:rPr>
      </w:pPr>
      <w:r>
        <w:rPr>
          <w:rFonts w:ascii="Gill Sans" w:eastAsia="Gill Sans" w:hAnsi="Gill Sans" w:cs="Gill Sans"/>
          <w:b/>
          <w:color w:val="1F497D"/>
        </w:rPr>
        <w:t>ITRD304 International Trade Quality Standards (3-0-0-3-6)</w:t>
      </w:r>
    </w:p>
    <w:p w14:paraId="7F4E8C92" w14:textId="77777777" w:rsidR="00923C67" w:rsidRDefault="007504A4">
      <w:pPr>
        <w:spacing w:after="0" w:line="240" w:lineRule="auto"/>
        <w:jc w:val="both"/>
        <w:rPr>
          <w:rFonts w:ascii="Gill Sans" w:eastAsia="Gill Sans" w:hAnsi="Gill Sans" w:cs="Gill Sans"/>
          <w:color w:val="1F497D"/>
        </w:rPr>
      </w:pPr>
      <w:r>
        <w:rPr>
          <w:rFonts w:ascii="Gill Sans" w:eastAsia="Gill Sans" w:hAnsi="Gill Sans" w:cs="Gill Sans"/>
          <w:color w:val="1F497D"/>
        </w:rPr>
        <w:t xml:space="preserve">Importance and obligation of quality in foreign trade; international quality institutions; fundamentals; standards; accreditation; market controlling; TSE Certificates; ISO 9000, 14000, 22000 and others; E- CE signs; Codes 29000; </w:t>
      </w:r>
      <w:proofErr w:type="spellStart"/>
      <w:r>
        <w:rPr>
          <w:rFonts w:ascii="Gill Sans" w:eastAsia="Gill Sans" w:hAnsi="Gill Sans" w:cs="Gill Sans"/>
          <w:color w:val="1F497D"/>
        </w:rPr>
        <w:t>Eko-teks</w:t>
      </w:r>
      <w:proofErr w:type="spellEnd"/>
      <w:r>
        <w:rPr>
          <w:rFonts w:ascii="Gill Sans" w:eastAsia="Gill Sans" w:hAnsi="Gill Sans" w:cs="Gill Sans"/>
          <w:color w:val="1F497D"/>
        </w:rPr>
        <w:t xml:space="preserve"> green point evaluation; EU quality orders; auditing import; product safety, EU Rules and harmonization 4703 and 339 EU rules; market supply conditions.</w:t>
      </w:r>
    </w:p>
    <w:p w14:paraId="69502F2E" w14:textId="77777777" w:rsidR="00D21E8D" w:rsidRDefault="00D21E8D">
      <w:pPr>
        <w:spacing w:after="0" w:line="240" w:lineRule="auto"/>
        <w:jc w:val="both"/>
        <w:rPr>
          <w:rFonts w:ascii="Gill Sans" w:eastAsia="Gill Sans" w:hAnsi="Gill Sans" w:cs="Gill Sans"/>
          <w:color w:val="1F497D"/>
        </w:rPr>
      </w:pPr>
    </w:p>
    <w:p w14:paraId="28D56A5E" w14:textId="77777777" w:rsidR="00D21E8D" w:rsidRDefault="00D21E8D" w:rsidP="00D21E8D">
      <w:pPr>
        <w:spacing w:after="0" w:line="240" w:lineRule="auto"/>
        <w:rPr>
          <w:rFonts w:ascii="Gill Sans" w:eastAsia="Gill Sans" w:hAnsi="Gill Sans" w:cs="Gill Sans"/>
          <w:b/>
          <w:color w:val="1F497D"/>
        </w:rPr>
      </w:pPr>
      <w:r>
        <w:rPr>
          <w:rFonts w:ascii="Gill Sans" w:eastAsia="Gill Sans" w:hAnsi="Gill Sans" w:cs="Gill Sans"/>
          <w:b/>
          <w:color w:val="1F497D"/>
        </w:rPr>
        <w:t>ITRD305 International Trade Indicators (3-0-0-3-6)</w:t>
      </w:r>
    </w:p>
    <w:p w14:paraId="1E5E5F08" w14:textId="1734369C" w:rsidR="00D21E8D" w:rsidRDefault="00D21E8D" w:rsidP="00D21E8D">
      <w:pPr>
        <w:spacing w:after="0" w:line="240" w:lineRule="auto"/>
        <w:jc w:val="both"/>
        <w:rPr>
          <w:rFonts w:ascii="Gill Sans" w:eastAsia="Gill Sans" w:hAnsi="Gill Sans" w:cs="Gill Sans"/>
          <w:color w:val="1F497D"/>
        </w:rPr>
      </w:pPr>
      <w:r>
        <w:rPr>
          <w:rFonts w:ascii="Gill Sans" w:eastAsia="Gill Sans" w:hAnsi="Gill Sans" w:cs="Gill Sans"/>
          <w:color w:val="1F497D"/>
        </w:rPr>
        <w:t xml:space="preserve">The International Trade Indicators course enables the analysis of macroeconomic concepts such as terms of trade, exchange rate, depression of the national currency, </w:t>
      </w:r>
      <w:r w:rsidR="00933916">
        <w:rPr>
          <w:rFonts w:ascii="Gill Sans" w:eastAsia="Gill Sans" w:hAnsi="Gill Sans" w:cs="Gill Sans"/>
          <w:color w:val="1F497D"/>
        </w:rPr>
        <w:t>appreciation</w:t>
      </w:r>
      <w:r>
        <w:rPr>
          <w:rFonts w:ascii="Gill Sans" w:eastAsia="Gill Sans" w:hAnsi="Gill Sans" w:cs="Gill Sans"/>
          <w:color w:val="1F497D"/>
        </w:rPr>
        <w:t xml:space="preserve"> of the national currency, purchasing power parity, the ratio of exports to imports, foreign trade deficit, balance of payments. These indicators improve participants; ability to comment on the current economy.</w:t>
      </w:r>
    </w:p>
    <w:p w14:paraId="0373B18E" w14:textId="77777777" w:rsidR="00923C67" w:rsidRDefault="00923C67">
      <w:pPr>
        <w:spacing w:after="0" w:line="240" w:lineRule="auto"/>
        <w:jc w:val="both"/>
        <w:rPr>
          <w:rFonts w:ascii="Gill Sans" w:eastAsia="Gill Sans" w:hAnsi="Gill Sans" w:cs="Gill Sans"/>
          <w:b/>
          <w:color w:val="1F497D"/>
        </w:rPr>
      </w:pPr>
    </w:p>
    <w:p w14:paraId="086F5973" w14:textId="77777777" w:rsidR="00923C67" w:rsidRDefault="007504A4">
      <w:pPr>
        <w:spacing w:after="0" w:line="240" w:lineRule="auto"/>
        <w:jc w:val="both"/>
        <w:rPr>
          <w:rFonts w:ascii="Gill Sans" w:eastAsia="Gill Sans" w:hAnsi="Gill Sans" w:cs="Gill Sans"/>
          <w:b/>
          <w:color w:val="1F497D"/>
        </w:rPr>
      </w:pPr>
      <w:r>
        <w:rPr>
          <w:rFonts w:ascii="Gill Sans" w:eastAsia="Gill Sans" w:hAnsi="Gill Sans" w:cs="Gill Sans"/>
          <w:b/>
          <w:color w:val="1F497D"/>
        </w:rPr>
        <w:t>ITRD306 International Trade Strategies and Organizations (3-0-0-3-6)</w:t>
      </w:r>
    </w:p>
    <w:p w14:paraId="32C7417B" w14:textId="77777777" w:rsidR="00923C67" w:rsidRDefault="007504A4">
      <w:pPr>
        <w:spacing w:after="0" w:line="240" w:lineRule="auto"/>
        <w:jc w:val="both"/>
        <w:rPr>
          <w:rFonts w:ascii="Gill Sans" w:eastAsia="Gill Sans" w:hAnsi="Gill Sans" w:cs="Gill Sans"/>
          <w:color w:val="1F497D"/>
        </w:rPr>
      </w:pPr>
      <w:r>
        <w:rPr>
          <w:rFonts w:ascii="Gill Sans" w:eastAsia="Gill Sans" w:hAnsi="Gill Sans" w:cs="Gill Sans"/>
          <w:color w:val="1F497D"/>
        </w:rPr>
        <w:t>Perspectives on international trade organizations; review of basic international economic relations, trade policy, instruments of trade policy, tariffs, nontariff barriers; world and international trade organizations after the World War II; Bretton-Woods System; IMF; GATT; European Economic Community; the crisis in 1970s; globalization and international trade organizations; collapse of Bretton-Woods System; globalization; growth of multinational corporations; World Trade Organization (WTO); principles of the WTO; degrees of economic integration; European Union (EU); institutions of the EU, EU product rules, regional integrations.</w:t>
      </w:r>
    </w:p>
    <w:p w14:paraId="2127E813" w14:textId="77777777" w:rsidR="00923C67" w:rsidRDefault="00923C67">
      <w:pPr>
        <w:spacing w:after="0" w:line="240" w:lineRule="auto"/>
        <w:jc w:val="both"/>
        <w:rPr>
          <w:rFonts w:ascii="Gill Sans" w:eastAsia="Gill Sans" w:hAnsi="Gill Sans" w:cs="Gill Sans"/>
          <w:color w:val="1F497D"/>
        </w:rPr>
      </w:pPr>
    </w:p>
    <w:p w14:paraId="043D8735" w14:textId="77777777" w:rsidR="000D7453" w:rsidRDefault="000D7453">
      <w:pPr>
        <w:rPr>
          <w:rFonts w:ascii="Gill Sans" w:eastAsia="Gill Sans" w:hAnsi="Gill Sans" w:cs="Gill Sans"/>
          <w:b/>
          <w:color w:val="1F497D"/>
        </w:rPr>
      </w:pPr>
      <w:r>
        <w:rPr>
          <w:rFonts w:ascii="Gill Sans" w:eastAsia="Gill Sans" w:hAnsi="Gill Sans" w:cs="Gill Sans"/>
          <w:b/>
          <w:color w:val="1F497D"/>
        </w:rPr>
        <w:br w:type="page"/>
      </w:r>
    </w:p>
    <w:p w14:paraId="12FED2F5" w14:textId="67E2D620" w:rsidR="00923C67" w:rsidRDefault="007504A4">
      <w:pPr>
        <w:spacing w:after="0" w:line="240" w:lineRule="auto"/>
        <w:jc w:val="both"/>
        <w:rPr>
          <w:rFonts w:ascii="Gill Sans" w:eastAsia="Gill Sans" w:hAnsi="Gill Sans" w:cs="Gill Sans"/>
          <w:b/>
          <w:color w:val="1F497D"/>
        </w:rPr>
      </w:pPr>
      <w:r>
        <w:rPr>
          <w:rFonts w:ascii="Gill Sans" w:eastAsia="Gill Sans" w:hAnsi="Gill Sans" w:cs="Gill Sans"/>
          <w:b/>
          <w:color w:val="1F497D"/>
        </w:rPr>
        <w:lastRenderedPageBreak/>
        <w:t>ITRD308 E- Commerce (3-0-0-3-6)</w:t>
      </w:r>
    </w:p>
    <w:p w14:paraId="54EFC15E" w14:textId="77777777" w:rsidR="00923C67" w:rsidRDefault="007504A4">
      <w:pPr>
        <w:spacing w:after="0" w:line="240" w:lineRule="auto"/>
        <w:jc w:val="both"/>
        <w:rPr>
          <w:rFonts w:ascii="Gill Sans" w:eastAsia="Gill Sans" w:hAnsi="Gill Sans" w:cs="Gill Sans"/>
          <w:color w:val="1F497D"/>
        </w:rPr>
      </w:pPr>
      <w:r>
        <w:rPr>
          <w:rFonts w:ascii="Gill Sans" w:eastAsia="Gill Sans" w:hAnsi="Gill Sans" w:cs="Gill Sans"/>
          <w:color w:val="1F497D"/>
        </w:rPr>
        <w:t>Marketing management; definition of communication with market and e-commerce; segmenting and positioning and understanding buyers characteristics; understanding different media types; corporate identity; sales literature; brand; web site; sales staff; international fairs; product and packaging; parts of digital marketing; online market and customer research; B2B markets; digital marketing; use of social media; developing and managing B2C sales web site; success stories of some B2B and B2C sites; payment methods and rules; producing a business modal book and making a web site.</w:t>
      </w:r>
    </w:p>
    <w:p w14:paraId="0CDA0E1D" w14:textId="77777777" w:rsidR="00923C67" w:rsidRDefault="00923C67">
      <w:pPr>
        <w:spacing w:after="0" w:line="240" w:lineRule="auto"/>
        <w:jc w:val="both"/>
        <w:rPr>
          <w:rFonts w:ascii="Gill Sans" w:eastAsia="Gill Sans" w:hAnsi="Gill Sans" w:cs="Gill Sans"/>
          <w:color w:val="1F497D"/>
        </w:rPr>
      </w:pPr>
    </w:p>
    <w:p w14:paraId="245C35A5" w14:textId="77777777" w:rsidR="00923C67" w:rsidRDefault="007504A4">
      <w:pPr>
        <w:spacing w:after="0" w:line="240" w:lineRule="auto"/>
        <w:jc w:val="both"/>
        <w:rPr>
          <w:rFonts w:ascii="Gill Sans" w:eastAsia="Gill Sans" w:hAnsi="Gill Sans" w:cs="Gill Sans"/>
          <w:b/>
          <w:color w:val="1F497D"/>
        </w:rPr>
      </w:pPr>
      <w:r>
        <w:rPr>
          <w:rFonts w:ascii="Gill Sans" w:eastAsia="Gill Sans" w:hAnsi="Gill Sans" w:cs="Gill Sans"/>
          <w:b/>
          <w:color w:val="1F497D"/>
        </w:rPr>
        <w:t>ITRD310 Sustainable Resource Management (3-0-0-3-6)</w:t>
      </w:r>
    </w:p>
    <w:p w14:paraId="0082BCE2" w14:textId="6340E819" w:rsidR="00923C67" w:rsidRDefault="007504A4">
      <w:pPr>
        <w:spacing w:after="0" w:line="240" w:lineRule="auto"/>
        <w:jc w:val="both"/>
        <w:rPr>
          <w:rFonts w:ascii="Gill Sans" w:eastAsia="Gill Sans" w:hAnsi="Gill Sans" w:cs="Gill Sans"/>
          <w:color w:val="1F497D"/>
        </w:rPr>
      </w:pPr>
      <w:r>
        <w:rPr>
          <w:rFonts w:ascii="Gill Sans" w:eastAsia="Gill Sans" w:hAnsi="Gill Sans" w:cs="Gill Sans"/>
          <w:color w:val="1F497D"/>
        </w:rPr>
        <w:t xml:space="preserve">The aim of this course is to </w:t>
      </w:r>
      <w:r w:rsidR="00933916">
        <w:rPr>
          <w:rFonts w:ascii="Gill Sans" w:eastAsia="Gill Sans" w:hAnsi="Gill Sans" w:cs="Gill Sans"/>
          <w:color w:val="1F497D"/>
        </w:rPr>
        <w:t>analyze</w:t>
      </w:r>
      <w:r>
        <w:rPr>
          <w:rFonts w:ascii="Gill Sans" w:eastAsia="Gill Sans" w:hAnsi="Gill Sans" w:cs="Gill Sans"/>
          <w:color w:val="1F497D"/>
        </w:rPr>
        <w:t xml:space="preserve"> how countries could optimize their resources in order to reach/maintain their sustainable economic growth. For this purpose; in accordance with the changing trends in the countries’ natural resources, energy, agriculture, and so on; and the impact of the resources on climate change; effects of the resources that need to be changed due to climate change on the import and export balances of the countries and how a foreign trade policy should be followed in this process; and the situation of Turkey will examine in this process.</w:t>
      </w:r>
    </w:p>
    <w:p w14:paraId="3294D796" w14:textId="77777777" w:rsidR="00923C67" w:rsidRDefault="00923C67">
      <w:pPr>
        <w:spacing w:after="0" w:line="240" w:lineRule="auto"/>
        <w:jc w:val="both"/>
        <w:rPr>
          <w:rFonts w:ascii="Gill Sans" w:eastAsia="Gill Sans" w:hAnsi="Gill Sans" w:cs="Gill Sans"/>
          <w:color w:val="1F497D"/>
        </w:rPr>
      </w:pPr>
    </w:p>
    <w:p w14:paraId="131F52CA" w14:textId="77777777" w:rsidR="00923C67" w:rsidRDefault="007504A4">
      <w:pPr>
        <w:spacing w:after="0" w:line="240" w:lineRule="auto"/>
        <w:jc w:val="both"/>
        <w:rPr>
          <w:rFonts w:ascii="Gill Sans" w:eastAsia="Gill Sans" w:hAnsi="Gill Sans" w:cs="Gill Sans"/>
          <w:b/>
          <w:color w:val="1F497D"/>
        </w:rPr>
      </w:pPr>
      <w:r>
        <w:rPr>
          <w:rFonts w:ascii="Gill Sans" w:eastAsia="Gill Sans" w:hAnsi="Gill Sans" w:cs="Gill Sans"/>
          <w:b/>
          <w:color w:val="1F497D"/>
        </w:rPr>
        <w:t>ITRD312 Sectoral Field Operations (3-0-0-3-6)</w:t>
      </w:r>
    </w:p>
    <w:p w14:paraId="33B7BE54" w14:textId="77777777" w:rsidR="00923C67" w:rsidRDefault="007504A4">
      <w:pPr>
        <w:spacing w:after="0" w:line="240" w:lineRule="auto"/>
        <w:jc w:val="both"/>
        <w:rPr>
          <w:rFonts w:ascii="Gill Sans" w:eastAsia="Gill Sans" w:hAnsi="Gill Sans" w:cs="Gill Sans"/>
          <w:color w:val="1F497D"/>
        </w:rPr>
      </w:pPr>
      <w:r>
        <w:rPr>
          <w:rFonts w:ascii="Gill Sans" w:eastAsia="Gill Sans" w:hAnsi="Gill Sans" w:cs="Gill Sans"/>
          <w:color w:val="1F497D"/>
        </w:rPr>
        <w:t>This course is designed to monitor the dynamic process of the sector, to gain knowledge and to experience the application process of the acquired theoretical knowledge as a result of field visits to national and international logistics and trade companies.</w:t>
      </w:r>
    </w:p>
    <w:p w14:paraId="2B0D5B6B" w14:textId="77777777" w:rsidR="00923C67" w:rsidRDefault="00923C67">
      <w:pPr>
        <w:spacing w:after="0" w:line="240" w:lineRule="auto"/>
        <w:jc w:val="both"/>
        <w:rPr>
          <w:rFonts w:ascii="Gill Sans" w:eastAsia="Gill Sans" w:hAnsi="Gill Sans" w:cs="Gill Sans"/>
          <w:color w:val="1F497D"/>
        </w:rPr>
      </w:pPr>
    </w:p>
    <w:p w14:paraId="3A78F139" w14:textId="77777777" w:rsidR="00923C67" w:rsidRDefault="007504A4">
      <w:pPr>
        <w:spacing w:after="0" w:line="240" w:lineRule="auto"/>
        <w:jc w:val="both"/>
        <w:rPr>
          <w:rFonts w:ascii="Gill Sans" w:eastAsia="Gill Sans" w:hAnsi="Gill Sans" w:cs="Gill Sans"/>
          <w:b/>
          <w:color w:val="1F497D"/>
        </w:rPr>
      </w:pPr>
      <w:r>
        <w:rPr>
          <w:rFonts w:ascii="Gill Sans" w:eastAsia="Gill Sans" w:hAnsi="Gill Sans" w:cs="Gill Sans"/>
          <w:b/>
          <w:color w:val="1F497D"/>
        </w:rPr>
        <w:t>ITRD314 Information Systems for Trade (3-0-0-6)</w:t>
      </w:r>
    </w:p>
    <w:p w14:paraId="4CCAF5A1" w14:textId="77777777" w:rsidR="00923C67" w:rsidRDefault="007504A4">
      <w:pPr>
        <w:spacing w:after="0" w:line="240" w:lineRule="auto"/>
        <w:jc w:val="both"/>
        <w:rPr>
          <w:rFonts w:ascii="Gill Sans" w:eastAsia="Gill Sans" w:hAnsi="Gill Sans" w:cs="Gill Sans"/>
          <w:color w:val="1F497D"/>
        </w:rPr>
      </w:pPr>
      <w:r>
        <w:rPr>
          <w:rFonts w:ascii="Gill Sans" w:eastAsia="Gill Sans" w:hAnsi="Gill Sans" w:cs="Gill Sans"/>
          <w:color w:val="1F497D"/>
        </w:rPr>
        <w:t>The Information Systems for Trade course emphasizes that the size and definition of trade has changed with the development of technological transformation and automation, and states that the interaction between the parties of the trade has accelerated. Participants examine the transformation of exports of goods and services in international trade in recent years. Participants learn the role of adapting to the increasing international competitive power in recent years in terms of information systems.</w:t>
      </w:r>
    </w:p>
    <w:p w14:paraId="213E0273" w14:textId="77777777" w:rsidR="00923C67" w:rsidRDefault="00923C67">
      <w:pPr>
        <w:spacing w:after="0" w:line="240" w:lineRule="auto"/>
        <w:jc w:val="both"/>
        <w:rPr>
          <w:rFonts w:ascii="Gill Sans" w:eastAsia="Gill Sans" w:hAnsi="Gill Sans" w:cs="Gill Sans"/>
          <w:color w:val="1F497D"/>
        </w:rPr>
      </w:pPr>
    </w:p>
    <w:p w14:paraId="62F0AAE6" w14:textId="77777777" w:rsidR="00923C67" w:rsidRDefault="007504A4">
      <w:pPr>
        <w:spacing w:after="0" w:line="240" w:lineRule="auto"/>
        <w:jc w:val="both"/>
        <w:rPr>
          <w:rFonts w:ascii="Gill Sans" w:eastAsia="Gill Sans" w:hAnsi="Gill Sans" w:cs="Gill Sans"/>
          <w:b/>
          <w:color w:val="1F497D"/>
        </w:rPr>
      </w:pPr>
      <w:r>
        <w:rPr>
          <w:rFonts w:ascii="Gill Sans" w:eastAsia="Gill Sans" w:hAnsi="Gill Sans" w:cs="Gill Sans"/>
          <w:b/>
          <w:color w:val="1F497D"/>
        </w:rPr>
        <w:t>ITRD403 Customs Operations (3-0-0-3-6)</w:t>
      </w:r>
    </w:p>
    <w:p w14:paraId="45D93171" w14:textId="77777777" w:rsidR="00923C67" w:rsidRDefault="007504A4">
      <w:pPr>
        <w:spacing w:after="0" w:line="240" w:lineRule="auto"/>
        <w:jc w:val="both"/>
        <w:rPr>
          <w:rFonts w:ascii="Gill Sans" w:eastAsia="Gill Sans" w:hAnsi="Gill Sans" w:cs="Gill Sans"/>
          <w:color w:val="1F497D"/>
        </w:rPr>
      </w:pPr>
      <w:r>
        <w:rPr>
          <w:rFonts w:ascii="Gill Sans" w:eastAsia="Gill Sans" w:hAnsi="Gill Sans" w:cs="Gill Sans"/>
          <w:color w:val="1F497D"/>
        </w:rPr>
        <w:t>Customs taxes; general rules; commercial preventions; tariffs; HS codes; origin of goods; value of goods; certificate of movement; summary declaration; customs declaration; custom regimes; free movement of goods; warehouse regime; the hinterland; temporary import regime; inward processing regime.</w:t>
      </w:r>
    </w:p>
    <w:p w14:paraId="384A8781" w14:textId="77777777" w:rsidR="00923C67" w:rsidRDefault="00923C67">
      <w:pPr>
        <w:spacing w:after="0" w:line="240" w:lineRule="auto"/>
        <w:jc w:val="both"/>
        <w:rPr>
          <w:rFonts w:ascii="Gill Sans" w:eastAsia="Gill Sans" w:hAnsi="Gill Sans" w:cs="Gill Sans"/>
          <w:color w:val="1F497D"/>
        </w:rPr>
      </w:pPr>
    </w:p>
    <w:p w14:paraId="1E3D3655" w14:textId="77777777" w:rsidR="00923C67" w:rsidRDefault="007504A4">
      <w:pPr>
        <w:spacing w:after="0" w:line="240" w:lineRule="auto"/>
        <w:jc w:val="both"/>
        <w:rPr>
          <w:rFonts w:ascii="Gill Sans" w:eastAsia="Gill Sans" w:hAnsi="Gill Sans" w:cs="Gill Sans"/>
          <w:color w:val="1F497D"/>
        </w:rPr>
      </w:pPr>
      <w:r>
        <w:rPr>
          <w:rFonts w:ascii="Gill Sans" w:eastAsia="Gill Sans" w:hAnsi="Gill Sans" w:cs="Gill Sans"/>
          <w:b/>
          <w:color w:val="1F497D"/>
        </w:rPr>
        <w:t>ITRD404 Target Market Economies (3-0-0-3-6)</w:t>
      </w:r>
    </w:p>
    <w:p w14:paraId="2D5A25E2" w14:textId="77777777" w:rsidR="00923C67" w:rsidRDefault="007504A4">
      <w:pPr>
        <w:spacing w:after="0" w:line="240" w:lineRule="auto"/>
        <w:jc w:val="both"/>
        <w:rPr>
          <w:rFonts w:ascii="Gill Sans" w:eastAsia="Gill Sans" w:hAnsi="Gill Sans" w:cs="Gill Sans"/>
          <w:color w:val="1F497D"/>
        </w:rPr>
      </w:pPr>
      <w:r>
        <w:rPr>
          <w:rFonts w:ascii="Gill Sans" w:eastAsia="Gill Sans" w:hAnsi="Gill Sans" w:cs="Gill Sans"/>
          <w:color w:val="1F497D"/>
        </w:rPr>
        <w:t>Market characteristics; population; national income; economic growth; income distribution; consumption patterns; inflation; debt; infrastructure; classification of countries; geographic classification; economic classification (UN, World Bank); developed; developing; transition countries; G-7; G-8; G-20; OECD; OPEC; Developing Countries: main developing country groupings (NICs, Emerging Countries, BRIC, African countries); EU; NAFTA and other integrations; emerging markets; Market Potential Index (MPI); BRIC countries; economic environment in emerging markets and developing countries.</w:t>
      </w:r>
    </w:p>
    <w:p w14:paraId="38C1FB1F" w14:textId="77777777" w:rsidR="00923C67" w:rsidRDefault="00923C67">
      <w:pPr>
        <w:spacing w:after="0" w:line="240" w:lineRule="auto"/>
        <w:jc w:val="both"/>
        <w:rPr>
          <w:rFonts w:ascii="Gill Sans" w:eastAsia="Gill Sans" w:hAnsi="Gill Sans" w:cs="Gill Sans"/>
          <w:b/>
          <w:color w:val="1F497D"/>
        </w:rPr>
      </w:pPr>
    </w:p>
    <w:p w14:paraId="7E72CE26" w14:textId="77777777" w:rsidR="000D7453" w:rsidRDefault="000D7453">
      <w:pPr>
        <w:rPr>
          <w:rFonts w:ascii="Gill Sans" w:eastAsia="Gill Sans" w:hAnsi="Gill Sans" w:cs="Gill Sans"/>
          <w:b/>
          <w:color w:val="1F497D"/>
        </w:rPr>
      </w:pPr>
      <w:r>
        <w:rPr>
          <w:rFonts w:ascii="Gill Sans" w:eastAsia="Gill Sans" w:hAnsi="Gill Sans" w:cs="Gill Sans"/>
          <w:b/>
          <w:color w:val="1F497D"/>
        </w:rPr>
        <w:br w:type="page"/>
      </w:r>
    </w:p>
    <w:p w14:paraId="04CBADBB" w14:textId="4778C037" w:rsidR="00923C67" w:rsidRDefault="007504A4">
      <w:pPr>
        <w:spacing w:after="0" w:line="240" w:lineRule="auto"/>
        <w:jc w:val="both"/>
        <w:rPr>
          <w:rFonts w:ascii="Gill Sans" w:eastAsia="Gill Sans" w:hAnsi="Gill Sans" w:cs="Gill Sans"/>
          <w:b/>
          <w:color w:val="1F497D"/>
        </w:rPr>
      </w:pPr>
      <w:r>
        <w:rPr>
          <w:rFonts w:ascii="Gill Sans" w:eastAsia="Gill Sans" w:hAnsi="Gill Sans" w:cs="Gill Sans"/>
          <w:b/>
          <w:color w:val="1F497D"/>
        </w:rPr>
        <w:lastRenderedPageBreak/>
        <w:t>ITRD405 Foreign Trade and Corporations (3-0-0-3-6)</w:t>
      </w:r>
    </w:p>
    <w:p w14:paraId="14D48DC4" w14:textId="77777777" w:rsidR="00923C67" w:rsidRDefault="007504A4">
      <w:pPr>
        <w:spacing w:after="0" w:line="240" w:lineRule="auto"/>
        <w:jc w:val="both"/>
        <w:rPr>
          <w:rFonts w:ascii="Gill Sans" w:eastAsia="Gill Sans" w:hAnsi="Gill Sans" w:cs="Gill Sans"/>
          <w:color w:val="1F497D"/>
        </w:rPr>
      </w:pPr>
      <w:r>
        <w:rPr>
          <w:rFonts w:ascii="Gill Sans" w:eastAsia="Gill Sans" w:hAnsi="Gill Sans" w:cs="Gill Sans"/>
          <w:color w:val="1F497D"/>
        </w:rPr>
        <w:t xml:space="preserve">Economic view; Today and future of world economy; expectations from industry and trade life; developed and emerging country trades; foreign trade indicators of turkey; managing institutions in foreign trade and functions; markets in foreign trade and effects of agreements to the </w:t>
      </w:r>
      <w:proofErr w:type="spellStart"/>
      <w:r>
        <w:rPr>
          <w:rFonts w:ascii="Gill Sans" w:eastAsia="Gill Sans" w:hAnsi="Gill Sans" w:cs="Gill Sans"/>
          <w:color w:val="1F497D"/>
        </w:rPr>
        <w:t>companies</w:t>
      </w:r>
      <w:proofErr w:type="spellEnd"/>
      <w:r>
        <w:rPr>
          <w:rFonts w:ascii="Gill Sans" w:eastAsia="Gill Sans" w:hAnsi="Gill Sans" w:cs="Gill Sans"/>
          <w:color w:val="1F497D"/>
        </w:rPr>
        <w:t xml:space="preserve"> management; power of international competition to the management of companies in international trade; structural relations of companies;  HR in foreign trade companies;  behaviors of employee and managers in foreign trade companies; developing understanding levels of employees according to international norms; application of starting a business to international trade.</w:t>
      </w:r>
    </w:p>
    <w:p w14:paraId="394F5FD6" w14:textId="77777777" w:rsidR="00923C67" w:rsidRDefault="00923C67">
      <w:pPr>
        <w:spacing w:after="0" w:line="240" w:lineRule="auto"/>
        <w:jc w:val="both"/>
        <w:rPr>
          <w:rFonts w:ascii="Gill Sans" w:eastAsia="Gill Sans" w:hAnsi="Gill Sans" w:cs="Gill Sans"/>
          <w:color w:val="1F497D"/>
        </w:rPr>
      </w:pPr>
    </w:p>
    <w:p w14:paraId="351C6118" w14:textId="77777777" w:rsidR="00923C67" w:rsidRDefault="007504A4">
      <w:pPr>
        <w:spacing w:after="0" w:line="240" w:lineRule="auto"/>
        <w:jc w:val="both"/>
        <w:rPr>
          <w:rFonts w:ascii="Gill Sans" w:eastAsia="Gill Sans" w:hAnsi="Gill Sans" w:cs="Gill Sans"/>
          <w:b/>
          <w:color w:val="1F497D"/>
        </w:rPr>
      </w:pPr>
      <w:r>
        <w:rPr>
          <w:rFonts w:ascii="Gill Sans" w:eastAsia="Gill Sans" w:hAnsi="Gill Sans" w:cs="Gill Sans"/>
          <w:b/>
          <w:color w:val="1F497D"/>
        </w:rPr>
        <w:t>ITRD407 Foreign Trade and the World Economy (3-0-0-3-6)</w:t>
      </w:r>
    </w:p>
    <w:p w14:paraId="1CC5B315" w14:textId="77777777" w:rsidR="00923C67" w:rsidRDefault="007504A4">
      <w:pPr>
        <w:spacing w:after="0" w:line="240" w:lineRule="auto"/>
        <w:jc w:val="both"/>
        <w:rPr>
          <w:rFonts w:ascii="Gill Sans" w:eastAsia="Gill Sans" w:hAnsi="Gill Sans" w:cs="Gill Sans"/>
          <w:color w:val="1F497D"/>
        </w:rPr>
      </w:pPr>
      <w:r>
        <w:rPr>
          <w:rFonts w:ascii="Gill Sans" w:eastAsia="Gill Sans" w:hAnsi="Gill Sans" w:cs="Gill Sans"/>
          <w:color w:val="1F497D"/>
        </w:rPr>
        <w:t xml:space="preserve">Classification of economy; classification of manufactured goods; horizontal specialization; vertical classification; technological classification of exports economic development; meaning and indicators of economic development; characteristics of the developing world; the origins of foreign trade; feudal society; geographical explorations; Mercantilism; Industrial Revolution; Colonialism; international trade and development strategy; current key issues in international trade; the terms of trade and the </w:t>
      </w:r>
      <w:proofErr w:type="spellStart"/>
      <w:r>
        <w:rPr>
          <w:rFonts w:ascii="Gill Sans" w:eastAsia="Gill Sans" w:hAnsi="Gill Sans" w:cs="Gill Sans"/>
          <w:color w:val="1F497D"/>
        </w:rPr>
        <w:t>Prebisch</w:t>
      </w:r>
      <w:proofErr w:type="spellEnd"/>
      <w:r>
        <w:rPr>
          <w:rFonts w:ascii="Gill Sans" w:eastAsia="Gill Sans" w:hAnsi="Gill Sans" w:cs="Gill Sans"/>
          <w:color w:val="1F497D"/>
        </w:rPr>
        <w:t>-Singer Hypothesis; import substitution industrialization (ISI); export promotion; globalization and international trade; drivers of globalization; globalization of developing countries in trade; outsourcing and offshoring; the fragmentation of production and emergence of production networks; global value chains; governance of value chains; globalization and development strategy; Turkey and value chains; industrial upgrading; sectoral examples.</w:t>
      </w:r>
    </w:p>
    <w:p w14:paraId="6773EC8A" w14:textId="77777777" w:rsidR="00923C67" w:rsidRDefault="00923C67">
      <w:pPr>
        <w:spacing w:after="0" w:line="240" w:lineRule="auto"/>
        <w:jc w:val="both"/>
        <w:rPr>
          <w:rFonts w:ascii="Gill Sans" w:eastAsia="Gill Sans" w:hAnsi="Gill Sans" w:cs="Gill Sans"/>
          <w:color w:val="1F497D"/>
        </w:rPr>
      </w:pPr>
    </w:p>
    <w:p w14:paraId="65466803" w14:textId="77777777" w:rsidR="00923C67" w:rsidRDefault="007504A4">
      <w:pPr>
        <w:spacing w:after="0" w:line="240" w:lineRule="auto"/>
        <w:jc w:val="both"/>
        <w:rPr>
          <w:rFonts w:ascii="Gill Sans" w:eastAsia="Gill Sans" w:hAnsi="Gill Sans" w:cs="Gill Sans"/>
          <w:b/>
          <w:color w:val="1F497D"/>
        </w:rPr>
      </w:pPr>
      <w:r>
        <w:rPr>
          <w:rFonts w:ascii="Gill Sans" w:eastAsia="Gill Sans" w:hAnsi="Gill Sans" w:cs="Gill Sans"/>
          <w:b/>
          <w:color w:val="1F497D"/>
        </w:rPr>
        <w:t>ITRD408 Current Issues in International Trade (3-0-0-3-6)</w:t>
      </w:r>
    </w:p>
    <w:p w14:paraId="59111AEC" w14:textId="2F12D99D" w:rsidR="00923C67" w:rsidRDefault="007504A4">
      <w:pPr>
        <w:spacing w:after="0" w:line="240" w:lineRule="auto"/>
        <w:jc w:val="both"/>
        <w:rPr>
          <w:rFonts w:ascii="Gill Sans" w:eastAsia="Gill Sans" w:hAnsi="Gill Sans" w:cs="Gill Sans"/>
          <w:color w:val="1F497D"/>
        </w:rPr>
      </w:pPr>
      <w:r>
        <w:rPr>
          <w:rFonts w:ascii="Gill Sans" w:eastAsia="Gill Sans" w:hAnsi="Gill Sans" w:cs="Gill Sans"/>
          <w:color w:val="1F497D"/>
        </w:rPr>
        <w:t>Magnifier effects; competitiveness effects; market distortion effects; agriculture in foreign trade; trade rules; liberalization in trade; agreements; reducing tariffs; developing countries; investment policies; environmental goods and services; labelling.</w:t>
      </w:r>
    </w:p>
    <w:p w14:paraId="0042B5CA" w14:textId="77777777" w:rsidR="00923C67" w:rsidRDefault="00923C67">
      <w:pPr>
        <w:spacing w:after="0" w:line="240" w:lineRule="auto"/>
        <w:jc w:val="both"/>
        <w:rPr>
          <w:rFonts w:ascii="Gill Sans" w:eastAsia="Gill Sans" w:hAnsi="Gill Sans" w:cs="Gill Sans"/>
          <w:color w:val="1F497D"/>
        </w:rPr>
      </w:pPr>
    </w:p>
    <w:p w14:paraId="1A44C8FF" w14:textId="77777777" w:rsidR="00923C67" w:rsidRDefault="007504A4">
      <w:pPr>
        <w:spacing w:after="0" w:line="240" w:lineRule="auto"/>
        <w:jc w:val="both"/>
        <w:rPr>
          <w:rFonts w:ascii="Gill Sans" w:eastAsia="Gill Sans" w:hAnsi="Gill Sans" w:cs="Gill Sans"/>
          <w:b/>
          <w:color w:val="1F497D"/>
        </w:rPr>
      </w:pPr>
      <w:r>
        <w:rPr>
          <w:rFonts w:ascii="Gill Sans" w:eastAsia="Gill Sans" w:hAnsi="Gill Sans" w:cs="Gill Sans"/>
          <w:b/>
          <w:color w:val="1F497D"/>
        </w:rPr>
        <w:t>ITRD409 Trade Competition Strategies (3-0-0-3-6)</w:t>
      </w:r>
    </w:p>
    <w:p w14:paraId="5BDFA478" w14:textId="4F45D6BB" w:rsidR="00923C67" w:rsidRDefault="007504A4">
      <w:pPr>
        <w:spacing w:after="0" w:line="240" w:lineRule="auto"/>
        <w:jc w:val="both"/>
        <w:rPr>
          <w:rFonts w:ascii="Gill Sans" w:eastAsia="Gill Sans" w:hAnsi="Gill Sans" w:cs="Gill Sans"/>
          <w:color w:val="1F497D"/>
        </w:rPr>
      </w:pPr>
      <w:r>
        <w:rPr>
          <w:rFonts w:ascii="Gill Sans" w:eastAsia="Gill Sans" w:hAnsi="Gill Sans" w:cs="Gill Sans"/>
          <w:color w:val="1F497D"/>
        </w:rPr>
        <w:t>Strategic management process and elements; external environment analysis; business analysis and application; business and organization elements; competition strategies; environment elements; high level management strategies; strategy applications; applications according to business structure.</w:t>
      </w:r>
    </w:p>
    <w:p w14:paraId="2DB582E4" w14:textId="77777777" w:rsidR="00923C67" w:rsidRDefault="00923C67">
      <w:pPr>
        <w:spacing w:after="0" w:line="240" w:lineRule="auto"/>
        <w:jc w:val="both"/>
        <w:rPr>
          <w:rFonts w:ascii="Gill Sans" w:eastAsia="Gill Sans" w:hAnsi="Gill Sans" w:cs="Gill Sans"/>
          <w:color w:val="1F497D"/>
        </w:rPr>
      </w:pPr>
    </w:p>
    <w:p w14:paraId="276B3514" w14:textId="77777777" w:rsidR="00923C67" w:rsidRDefault="007504A4">
      <w:pPr>
        <w:spacing w:after="0" w:line="240" w:lineRule="auto"/>
        <w:jc w:val="both"/>
        <w:rPr>
          <w:rFonts w:ascii="Gill Sans" w:eastAsia="Gill Sans" w:hAnsi="Gill Sans" w:cs="Gill Sans"/>
          <w:b/>
          <w:color w:val="1F497D"/>
        </w:rPr>
      </w:pPr>
      <w:r>
        <w:rPr>
          <w:rFonts w:ascii="Gill Sans" w:eastAsia="Gill Sans" w:hAnsi="Gill Sans" w:cs="Gill Sans"/>
          <w:b/>
          <w:color w:val="1F497D"/>
        </w:rPr>
        <w:t>ITRD410 Cinema and Global Trade (3-0-0-3-6)</w:t>
      </w:r>
    </w:p>
    <w:p w14:paraId="56E00858" w14:textId="77777777" w:rsidR="00923C67" w:rsidRDefault="007504A4">
      <w:pPr>
        <w:spacing w:after="0" w:line="240" w:lineRule="auto"/>
        <w:jc w:val="both"/>
        <w:rPr>
          <w:rFonts w:ascii="Gill Sans" w:eastAsia="Gill Sans" w:hAnsi="Gill Sans" w:cs="Gill Sans"/>
          <w:color w:val="1F497D"/>
        </w:rPr>
      </w:pPr>
      <w:r>
        <w:rPr>
          <w:rFonts w:ascii="Gill Sans" w:eastAsia="Gill Sans" w:hAnsi="Gill Sans" w:cs="Gill Sans"/>
          <w:color w:val="1F497D"/>
        </w:rPr>
        <w:t>Exchange of global trade by periods; Liberal politics; Keynesian politics; The impact of the film industry on trade; The impact of the film industry on consumer habits; Hollywood's power and US dominance in global trade</w:t>
      </w:r>
    </w:p>
    <w:p w14:paraId="6BAD0E21" w14:textId="77777777" w:rsidR="00923C67" w:rsidRDefault="00923C67">
      <w:pPr>
        <w:spacing w:after="0" w:line="240" w:lineRule="auto"/>
        <w:jc w:val="both"/>
        <w:rPr>
          <w:rFonts w:ascii="Gill Sans" w:eastAsia="Gill Sans" w:hAnsi="Gill Sans" w:cs="Gill Sans"/>
          <w:color w:val="1F497D"/>
        </w:rPr>
      </w:pPr>
    </w:p>
    <w:p w14:paraId="6903F2FC" w14:textId="77777777" w:rsidR="00923C67" w:rsidRDefault="007504A4">
      <w:pPr>
        <w:spacing w:after="0" w:line="240" w:lineRule="auto"/>
        <w:jc w:val="both"/>
        <w:rPr>
          <w:rFonts w:ascii="Gill Sans" w:eastAsia="Gill Sans" w:hAnsi="Gill Sans" w:cs="Gill Sans"/>
          <w:b/>
          <w:color w:val="1F497D"/>
        </w:rPr>
      </w:pPr>
      <w:r>
        <w:rPr>
          <w:rFonts w:ascii="Gill Sans" w:eastAsia="Gill Sans" w:hAnsi="Gill Sans" w:cs="Gill Sans"/>
          <w:b/>
          <w:color w:val="1F497D"/>
        </w:rPr>
        <w:t>ITRD411 International Trade Law (3-0-0-3-6)</w:t>
      </w:r>
    </w:p>
    <w:p w14:paraId="578D9612" w14:textId="77777777" w:rsidR="00923C67" w:rsidRDefault="007504A4">
      <w:pPr>
        <w:spacing w:after="0" w:line="240" w:lineRule="auto"/>
        <w:jc w:val="both"/>
        <w:rPr>
          <w:rFonts w:ascii="Gill Sans" w:eastAsia="Gill Sans" w:hAnsi="Gill Sans" w:cs="Gill Sans"/>
          <w:color w:val="1F497D"/>
        </w:rPr>
      </w:pPr>
      <w:r>
        <w:rPr>
          <w:rFonts w:ascii="Gill Sans" w:eastAsia="Gill Sans" w:hAnsi="Gill Sans" w:cs="Gill Sans"/>
          <w:color w:val="1F497D"/>
        </w:rPr>
        <w:t>Contracts, mergers (joint ventures, consortia), conflict, dispute resolution, arbitration and mediation, international organizations (WTO, UNCITRAL) and international agreements.</w:t>
      </w:r>
    </w:p>
    <w:p w14:paraId="6DC31949" w14:textId="77777777" w:rsidR="00923C67" w:rsidRDefault="00923C67">
      <w:pPr>
        <w:spacing w:after="0" w:line="240" w:lineRule="auto"/>
        <w:jc w:val="both"/>
        <w:rPr>
          <w:rFonts w:ascii="Gill Sans" w:eastAsia="Gill Sans" w:hAnsi="Gill Sans" w:cs="Gill Sans"/>
          <w:color w:val="1F497D"/>
        </w:rPr>
      </w:pPr>
    </w:p>
    <w:p w14:paraId="70AE032C" w14:textId="77777777" w:rsidR="00923C67" w:rsidRDefault="007504A4">
      <w:pPr>
        <w:spacing w:after="0" w:line="240" w:lineRule="auto"/>
        <w:jc w:val="both"/>
      </w:pPr>
      <w:r>
        <w:rPr>
          <w:rFonts w:ascii="Gill Sans" w:eastAsia="Gill Sans" w:hAnsi="Gill Sans" w:cs="Gill Sans"/>
          <w:b/>
          <w:color w:val="1F497D"/>
        </w:rPr>
        <w:t>ITRD413 Business Design in International Trade</w:t>
      </w:r>
      <w:r>
        <w:t xml:space="preserve"> </w:t>
      </w:r>
      <w:r>
        <w:rPr>
          <w:rFonts w:ascii="Gill Sans" w:eastAsia="Gill Sans" w:hAnsi="Gill Sans" w:cs="Gill Sans"/>
          <w:b/>
          <w:color w:val="1F497D"/>
        </w:rPr>
        <w:t>(3-0-0-3-6)</w:t>
      </w:r>
    </w:p>
    <w:p w14:paraId="5EBCA059" w14:textId="11195485" w:rsidR="00923C67" w:rsidRDefault="007504A4">
      <w:pPr>
        <w:spacing w:after="0" w:line="240" w:lineRule="auto"/>
        <w:jc w:val="both"/>
        <w:rPr>
          <w:rFonts w:ascii="Gill Sans" w:eastAsia="Gill Sans" w:hAnsi="Gill Sans" w:cs="Gill Sans"/>
          <w:color w:val="1F497D"/>
        </w:rPr>
      </w:pPr>
      <w:r>
        <w:rPr>
          <w:rFonts w:ascii="Gill Sans" w:eastAsia="Gill Sans" w:hAnsi="Gill Sans" w:cs="Gill Sans"/>
          <w:color w:val="1F497D"/>
        </w:rPr>
        <w:t>Entrepreneurship in international trade; current and historical issues development in international trade; trends in international trade; business design partnership (domestic and foreign-join</w:t>
      </w:r>
      <w:r w:rsidR="00933916">
        <w:rPr>
          <w:rFonts w:ascii="Gill Sans" w:eastAsia="Gill Sans" w:hAnsi="Gill Sans" w:cs="Gill Sans"/>
          <w:color w:val="1F497D"/>
        </w:rPr>
        <w:t>t venture</w:t>
      </w:r>
      <w:r>
        <w:rPr>
          <w:rFonts w:ascii="Gill Sans" w:eastAsia="Gill Sans" w:hAnsi="Gill Sans" w:cs="Gill Sans"/>
          <w:color w:val="1F497D"/>
        </w:rPr>
        <w:t xml:space="preserve"> to-consortium); workplace selection-location (in Turkey and abroad); risks -opportunities; creation of a new business and its processes and / or create a new model in international trade. Designing the value creation process; developing a business model for commercializing the designed value </w:t>
      </w:r>
      <w:r>
        <w:rPr>
          <w:rFonts w:ascii="Gill Sans" w:eastAsia="Gill Sans" w:hAnsi="Gill Sans" w:cs="Gill Sans"/>
          <w:color w:val="1F497D"/>
        </w:rPr>
        <w:lastRenderedPageBreak/>
        <w:t>package; initiation of foreign trade initiative and preparation of fully developed formal business plan; issues to be considered in capital, financing, organization, (production-supply) processes; development of budget, marketing, sales strategy, governance strategy.</w:t>
      </w:r>
    </w:p>
    <w:p w14:paraId="05606FCB" w14:textId="77777777" w:rsidR="00923C67" w:rsidRDefault="00923C67">
      <w:pPr>
        <w:spacing w:after="0" w:line="240" w:lineRule="auto"/>
        <w:jc w:val="both"/>
        <w:rPr>
          <w:rFonts w:ascii="Gill Sans" w:eastAsia="Gill Sans" w:hAnsi="Gill Sans" w:cs="Gill Sans"/>
          <w:color w:val="1F497D"/>
        </w:rPr>
      </w:pPr>
    </w:p>
    <w:p w14:paraId="5FAD8314" w14:textId="77777777" w:rsidR="00923C67" w:rsidRDefault="007504A4">
      <w:pPr>
        <w:spacing w:after="0"/>
        <w:jc w:val="both"/>
        <w:rPr>
          <w:rFonts w:ascii="Gill Sans" w:eastAsia="Gill Sans" w:hAnsi="Gill Sans" w:cs="Gill Sans"/>
          <w:color w:val="1F497D"/>
        </w:rPr>
      </w:pPr>
      <w:r>
        <w:rPr>
          <w:rFonts w:ascii="Gill Sans" w:eastAsia="Gill Sans" w:hAnsi="Gill Sans" w:cs="Gill Sans"/>
          <w:b/>
          <w:color w:val="1F497D"/>
        </w:rPr>
        <w:t>Second Foreign Language Elective I/II</w:t>
      </w:r>
    </w:p>
    <w:p w14:paraId="1E8A8948" w14:textId="77777777" w:rsidR="00923C67" w:rsidRDefault="007504A4">
      <w:pPr>
        <w:spacing w:after="0" w:line="240" w:lineRule="auto"/>
        <w:jc w:val="both"/>
        <w:rPr>
          <w:rFonts w:ascii="Gill Sans" w:eastAsia="Gill Sans" w:hAnsi="Gill Sans" w:cs="Gill Sans"/>
          <w:color w:val="1F497D"/>
        </w:rPr>
      </w:pPr>
      <w:r>
        <w:rPr>
          <w:rFonts w:ascii="Gill Sans" w:eastAsia="Gill Sans" w:hAnsi="Gill Sans" w:cs="Gill Sans"/>
          <w:color w:val="1F497D"/>
        </w:rPr>
        <w:t>English / Russian / Chinese / Arabic</w:t>
      </w:r>
    </w:p>
    <w:p w14:paraId="43C16207" w14:textId="77777777" w:rsidR="00923C67" w:rsidRDefault="007504A4">
      <w:pPr>
        <w:spacing w:after="0" w:line="240" w:lineRule="auto"/>
        <w:jc w:val="both"/>
        <w:rPr>
          <w:rFonts w:ascii="Gill Sans" w:eastAsia="Gill Sans" w:hAnsi="Gill Sans" w:cs="Gill Sans"/>
          <w:b/>
          <w:color w:val="1F497D"/>
        </w:rPr>
      </w:pPr>
      <w:r>
        <w:rPr>
          <w:rFonts w:ascii="Gill Sans" w:eastAsia="Gill Sans" w:hAnsi="Gill Sans" w:cs="Gill Sans"/>
          <w:color w:val="1F497D"/>
        </w:rPr>
        <w:t>Elementary level Russian; Chinese; Arabic; application of basic language and grammar; Students studying in the Turkish program may take English course as a second foreign language elective course.</w:t>
      </w:r>
    </w:p>
    <w:p w14:paraId="6CDA7C55" w14:textId="77777777" w:rsidR="00923C67" w:rsidRDefault="00923C67">
      <w:pPr>
        <w:spacing w:after="0"/>
        <w:jc w:val="both"/>
        <w:rPr>
          <w:rFonts w:ascii="Gill Sans" w:eastAsia="Gill Sans" w:hAnsi="Gill Sans" w:cs="Gill Sans"/>
          <w:color w:val="1F497D"/>
        </w:rPr>
      </w:pPr>
    </w:p>
    <w:p w14:paraId="14E0C843" w14:textId="77777777" w:rsidR="00923C67" w:rsidRDefault="007504A4">
      <w:pPr>
        <w:spacing w:after="0" w:line="240" w:lineRule="auto"/>
        <w:jc w:val="both"/>
        <w:rPr>
          <w:rFonts w:ascii="Gill Sans" w:eastAsia="Gill Sans" w:hAnsi="Gill Sans" w:cs="Gill Sans"/>
          <w:b/>
          <w:color w:val="1F497D"/>
        </w:rPr>
      </w:pPr>
      <w:r>
        <w:rPr>
          <w:rFonts w:ascii="Gill Sans" w:eastAsia="Gill Sans" w:hAnsi="Gill Sans" w:cs="Gill Sans"/>
          <w:b/>
          <w:color w:val="1F497D"/>
        </w:rPr>
        <w:t>INT004 Internship (0-0-0-0-8)</w:t>
      </w:r>
    </w:p>
    <w:p w14:paraId="0E6F5DBA" w14:textId="77777777" w:rsidR="00923C67" w:rsidRDefault="007504A4">
      <w:pPr>
        <w:spacing w:after="0" w:line="240" w:lineRule="auto"/>
        <w:jc w:val="both"/>
        <w:rPr>
          <w:rFonts w:ascii="Gill Sans" w:eastAsia="Gill Sans" w:hAnsi="Gill Sans" w:cs="Gill Sans"/>
          <w:color w:val="1F497D"/>
        </w:rPr>
      </w:pPr>
      <w:r>
        <w:rPr>
          <w:rFonts w:ascii="Gill Sans" w:eastAsia="Gill Sans" w:hAnsi="Gill Sans" w:cs="Gill Sans"/>
          <w:color w:val="1F497D"/>
        </w:rPr>
        <w:t>Internship within business organizations for gaining hands-on experience.</w:t>
      </w:r>
    </w:p>
    <w:p w14:paraId="616B6290" w14:textId="77777777" w:rsidR="00923C67" w:rsidRDefault="00923C67">
      <w:pPr>
        <w:spacing w:after="0" w:line="240" w:lineRule="auto"/>
        <w:jc w:val="both"/>
        <w:rPr>
          <w:rFonts w:ascii="Gill Sans" w:eastAsia="Gill Sans" w:hAnsi="Gill Sans" w:cs="Gill Sans"/>
          <w:b/>
          <w:color w:val="1F497D"/>
        </w:rPr>
      </w:pPr>
    </w:p>
    <w:p w14:paraId="6FB11EC7" w14:textId="77777777" w:rsidR="00923C67" w:rsidRDefault="00923C67">
      <w:pPr>
        <w:spacing w:after="0" w:line="240" w:lineRule="auto"/>
        <w:jc w:val="both"/>
        <w:rPr>
          <w:rFonts w:ascii="Gill Sans" w:eastAsia="Gill Sans" w:hAnsi="Gill Sans" w:cs="Gill Sans"/>
          <w:color w:val="1F497D"/>
        </w:rPr>
      </w:pPr>
    </w:p>
    <w:sectPr w:rsidR="00923C67">
      <w:pgSz w:w="11906" w:h="16838"/>
      <w:pgMar w:top="1417" w:right="1417" w:bottom="1417" w:left="1417" w:header="708" w:footer="708" w:gutter="0"/>
      <w:cols w:space="70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3" w:usb2="00000009" w:usb3="00000000" w:csb0="000001FF" w:csb1="00000000"/>
  </w:font>
  <w:font w:name="Tahoma">
    <w:panose1 w:val="020B0604030504040204"/>
    <w:charset w:val="A2"/>
    <w:family w:val="swiss"/>
    <w:pitch w:val="variable"/>
    <w:sig w:usb0="E1002EFF" w:usb1="C000605B" w:usb2="00000029" w:usb3="00000000" w:csb0="000101FF" w:csb1="00000000"/>
  </w:font>
  <w:font w:name="Georgia">
    <w:panose1 w:val="02040502050405020303"/>
    <w:charset w:val="A2"/>
    <w:family w:val="roman"/>
    <w:pitch w:val="variable"/>
    <w:sig w:usb0="00000287" w:usb1="00000000" w:usb2="00000000" w:usb3="00000000" w:csb0="0000009F" w:csb1="00000000"/>
  </w:font>
  <w:font w:name="Gill Sans">
    <w:altName w:val="Segoe UI Light"/>
    <w:charset w:val="00"/>
    <w:family w:val="auto"/>
    <w:pitch w:val="default"/>
  </w:font>
  <w:font w:name="Gill Sans MT">
    <w:panose1 w:val="020B0502020104020203"/>
    <w:charset w:val="00"/>
    <w:family w:val="swiss"/>
    <w:pitch w:val="variable"/>
    <w:sig w:usb0="00000007" w:usb1="00000000" w:usb2="00000000" w:usb3="00000000" w:csb0="00000003" w:csb1="00000000"/>
  </w:font>
  <w:font w:name="Arial">
    <w:panose1 w:val="020B0604020202020204"/>
    <w:charset w:val="00"/>
    <w:family w:val="swiss"/>
    <w:pitch w:val="variable"/>
    <w:sig w:usb0="E0002AFF" w:usb1="C0007843" w:usb2="00000009" w:usb3="00000000" w:csb0="000001FF" w:csb1="00000000"/>
  </w:font>
  <w:font w:name="Trebuchet MS">
    <w:panose1 w:val="020B0603020202020204"/>
    <w:charset w:val="A2"/>
    <w:family w:val="swiss"/>
    <w:pitch w:val="variable"/>
    <w:sig w:usb0="00000687" w:usb1="00000000" w:usb2="00000000" w:usb3="00000000" w:csb0="0000009F" w:csb1="00000000"/>
  </w:font>
  <w:font w:name="Cambria">
    <w:panose1 w:val="02040503050406030204"/>
    <w:charset w:val="A2"/>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proofState w:spelling="clean" w:grammar="clean"/>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23C67"/>
    <w:rsid w:val="00096D6A"/>
    <w:rsid w:val="000D7453"/>
    <w:rsid w:val="001B57DC"/>
    <w:rsid w:val="0024310F"/>
    <w:rsid w:val="00282A29"/>
    <w:rsid w:val="0042050D"/>
    <w:rsid w:val="004352E5"/>
    <w:rsid w:val="005832BF"/>
    <w:rsid w:val="006E5EF7"/>
    <w:rsid w:val="00704A99"/>
    <w:rsid w:val="007504A4"/>
    <w:rsid w:val="007A6DE6"/>
    <w:rsid w:val="00821B73"/>
    <w:rsid w:val="00923C67"/>
    <w:rsid w:val="00933916"/>
    <w:rsid w:val="009E4D83"/>
    <w:rsid w:val="00B5285A"/>
    <w:rsid w:val="00D21E8D"/>
    <w:rsid w:val="00DE67C3"/>
    <w:rsid w:val="00E873B1"/>
    <w:rsid w:val="00F21E0B"/>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FCE26E1"/>
  <w15:docId w15:val="{651EEA4E-F91E-41DD-A851-B15F91A93F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Calibri"/>
        <w:sz w:val="22"/>
        <w:szCs w:val="22"/>
        <w:lang w:val="en-US" w:eastAsia="tr-TR"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Balk1">
    <w:name w:val="heading 1"/>
    <w:basedOn w:val="Normal"/>
    <w:next w:val="Normal"/>
    <w:uiPriority w:val="9"/>
    <w:qFormat/>
    <w:pPr>
      <w:keepNext/>
      <w:keepLines/>
      <w:spacing w:before="480" w:after="120"/>
      <w:outlineLvl w:val="0"/>
    </w:pPr>
    <w:rPr>
      <w:b/>
      <w:sz w:val="48"/>
      <w:szCs w:val="48"/>
    </w:rPr>
  </w:style>
  <w:style w:type="paragraph" w:styleId="Balk2">
    <w:name w:val="heading 2"/>
    <w:basedOn w:val="Normal"/>
    <w:next w:val="Normal"/>
    <w:uiPriority w:val="9"/>
    <w:semiHidden/>
    <w:unhideWhenUsed/>
    <w:qFormat/>
    <w:pPr>
      <w:keepNext/>
      <w:keepLines/>
      <w:spacing w:before="360" w:after="80"/>
      <w:outlineLvl w:val="1"/>
    </w:pPr>
    <w:rPr>
      <w:b/>
      <w:sz w:val="36"/>
      <w:szCs w:val="36"/>
    </w:rPr>
  </w:style>
  <w:style w:type="paragraph" w:styleId="Balk3">
    <w:name w:val="heading 3"/>
    <w:basedOn w:val="Normal"/>
    <w:next w:val="Normal"/>
    <w:uiPriority w:val="9"/>
    <w:semiHidden/>
    <w:unhideWhenUsed/>
    <w:qFormat/>
    <w:pPr>
      <w:keepNext/>
      <w:keepLines/>
      <w:spacing w:before="280" w:after="80"/>
      <w:outlineLvl w:val="2"/>
    </w:pPr>
    <w:rPr>
      <w:b/>
      <w:sz w:val="28"/>
      <w:szCs w:val="28"/>
    </w:rPr>
  </w:style>
  <w:style w:type="paragraph" w:styleId="Balk4">
    <w:name w:val="heading 4"/>
    <w:basedOn w:val="Normal"/>
    <w:next w:val="Normal"/>
    <w:uiPriority w:val="9"/>
    <w:semiHidden/>
    <w:unhideWhenUsed/>
    <w:qFormat/>
    <w:pPr>
      <w:keepNext/>
      <w:keepLines/>
      <w:spacing w:before="240" w:after="40"/>
      <w:outlineLvl w:val="3"/>
    </w:pPr>
    <w:rPr>
      <w:b/>
      <w:sz w:val="24"/>
      <w:szCs w:val="24"/>
    </w:rPr>
  </w:style>
  <w:style w:type="paragraph" w:styleId="Balk5">
    <w:name w:val="heading 5"/>
    <w:basedOn w:val="Normal"/>
    <w:next w:val="Normal"/>
    <w:uiPriority w:val="9"/>
    <w:semiHidden/>
    <w:unhideWhenUsed/>
    <w:qFormat/>
    <w:pPr>
      <w:keepNext/>
      <w:keepLines/>
      <w:spacing w:before="220" w:after="40"/>
      <w:outlineLvl w:val="4"/>
    </w:pPr>
    <w:rPr>
      <w:b/>
    </w:rPr>
  </w:style>
  <w:style w:type="paragraph" w:styleId="Balk6">
    <w:name w:val="heading 6"/>
    <w:basedOn w:val="Normal"/>
    <w:next w:val="Normal"/>
    <w:uiPriority w:val="9"/>
    <w:semiHidden/>
    <w:unhideWhenUsed/>
    <w:qFormat/>
    <w:pPr>
      <w:keepNext/>
      <w:keepLines/>
      <w:spacing w:before="200" w:after="40"/>
      <w:outlineLvl w:val="5"/>
    </w:pPr>
    <w:rPr>
      <w:b/>
      <w:sz w:val="20"/>
      <w:szCs w:val="20"/>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KonuBal">
    <w:name w:val="Title"/>
    <w:basedOn w:val="Normal"/>
    <w:next w:val="Normal"/>
    <w:uiPriority w:val="10"/>
    <w:qFormat/>
    <w:pPr>
      <w:keepNext/>
      <w:keepLines/>
      <w:spacing w:before="480" w:after="120"/>
    </w:pPr>
    <w:rPr>
      <w:b/>
      <w:sz w:val="72"/>
      <w:szCs w:val="72"/>
    </w:rPr>
  </w:style>
  <w:style w:type="paragraph" w:styleId="BalonMetni">
    <w:name w:val="Balloon Text"/>
    <w:basedOn w:val="Normal"/>
    <w:link w:val="BalonMetniChar"/>
    <w:uiPriority w:val="99"/>
    <w:semiHidden/>
    <w:unhideWhenUsed/>
    <w:rsid w:val="003D09D4"/>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3D09D4"/>
    <w:rPr>
      <w:rFonts w:ascii="Tahoma" w:hAnsi="Tahoma" w:cs="Tahoma"/>
      <w:sz w:val="16"/>
      <w:szCs w:val="16"/>
    </w:rPr>
  </w:style>
  <w:style w:type="paragraph" w:styleId="AralkYok">
    <w:name w:val="No Spacing"/>
    <w:uiPriority w:val="1"/>
    <w:qFormat/>
    <w:rsid w:val="003D09D4"/>
    <w:pPr>
      <w:spacing w:after="0" w:line="240" w:lineRule="auto"/>
    </w:pPr>
  </w:style>
  <w:style w:type="table" w:styleId="OrtaGlgeleme1-Vurgu1">
    <w:name w:val="Medium Shading 1 Accent 1"/>
    <w:basedOn w:val="NormalTablo"/>
    <w:uiPriority w:val="63"/>
    <w:rsid w:val="003A1293"/>
    <w:pPr>
      <w:spacing w:after="0" w:line="240" w:lineRule="auto"/>
    </w:pPr>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ListeParagraf">
    <w:name w:val="List Paragraph"/>
    <w:basedOn w:val="Normal"/>
    <w:uiPriority w:val="34"/>
    <w:qFormat/>
    <w:rsid w:val="009610E0"/>
    <w:pPr>
      <w:ind w:left="720"/>
      <w:contextualSpacing/>
    </w:pPr>
    <w:rPr>
      <w:rFonts w:eastAsiaTheme="minorEastAsia"/>
    </w:rPr>
  </w:style>
  <w:style w:type="character" w:customStyle="1" w:styleId="apple-converted-space">
    <w:name w:val="apple-converted-space"/>
    <w:basedOn w:val="VarsaylanParagrafYazTipi"/>
    <w:rsid w:val="009610E0"/>
  </w:style>
  <w:style w:type="paragraph" w:styleId="Altyaz">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pPr>
      <w:spacing w:after="0" w:line="240" w:lineRule="auto"/>
    </w:pPr>
    <w:tblPr>
      <w:tblStyleRowBandSize w:val="1"/>
      <w:tblStyleColBandSize w:val="1"/>
      <w:tblCellMar>
        <w:left w:w="108" w:type="dxa"/>
        <w:right w:w="108" w:type="dxa"/>
      </w:tblCellMar>
    </w:tblPr>
    <w:tblStylePr w:type="firstRow">
      <w:pPr>
        <w:spacing w:before="0" w:after="0" w:line="240" w:lineRule="auto"/>
      </w:pPr>
      <w:rPr>
        <w:b/>
        <w:color w:val="FFFFFF"/>
      </w:rPr>
      <w:tblPr/>
      <w:tcPr>
        <w:tcBorders>
          <w:top w:val="single" w:sz="8" w:space="0" w:color="7BA0CD"/>
          <w:left w:val="single" w:sz="8" w:space="0" w:color="7BA0CD"/>
          <w:bottom w:val="single" w:sz="8" w:space="0" w:color="7BA0CD"/>
          <w:right w:val="single" w:sz="8" w:space="0" w:color="7BA0CD"/>
          <w:insideH w:val="nil"/>
          <w:insideV w:val="nil"/>
        </w:tcBorders>
        <w:shd w:val="clear" w:color="auto" w:fill="4F81BD"/>
      </w:tcPr>
    </w:tblStylePr>
    <w:tblStylePr w:type="lastRow">
      <w:pPr>
        <w:spacing w:before="0" w:after="0" w:line="240" w:lineRule="auto"/>
      </w:pPr>
      <w:rPr>
        <w:b/>
      </w:rPr>
      <w:tblPr/>
      <w:tcPr>
        <w:tcBorders>
          <w:top w:val="single" w:sz="6" w:space="0" w:color="7BA0CD"/>
          <w:left w:val="single" w:sz="8" w:space="0" w:color="7BA0CD"/>
          <w:bottom w:val="single" w:sz="8" w:space="0" w:color="7BA0CD"/>
          <w:right w:val="single" w:sz="8" w:space="0" w:color="7BA0CD"/>
          <w:insideH w:val="nil"/>
          <w:insideV w:val="nil"/>
        </w:tcBorders>
      </w:tcPr>
    </w:tblStylePr>
    <w:tblStylePr w:type="firstCol">
      <w:rPr>
        <w:b/>
      </w:rPr>
    </w:tblStylePr>
    <w:tblStylePr w:type="lastCol">
      <w:rPr>
        <w:b/>
      </w:rPr>
    </w:tblStylePr>
    <w:tblStylePr w:type="band1Vert">
      <w:tblPr/>
      <w:tcPr>
        <w:shd w:val="clear" w:color="auto" w:fill="D3DFEE"/>
      </w:tcPr>
    </w:tblStylePr>
    <w:tblStylePr w:type="band1Horz">
      <w:tblPr/>
      <w:tcPr>
        <w:tcBorders>
          <w:insideH w:val="nil"/>
          <w:insideV w:val="nil"/>
        </w:tcBorders>
        <w:shd w:val="clear" w:color="auto" w:fill="D3DFEE"/>
      </w:tcPr>
    </w:tblStylePr>
    <w:tblStylePr w:type="band2Horz">
      <w:tblPr/>
      <w:tcPr>
        <w:tcBorders>
          <w:insideH w:val="nil"/>
          <w:insideV w:val="nil"/>
        </w:tcBorders>
      </w:tcPr>
    </w:tblStylePr>
  </w:style>
  <w:style w:type="table" w:customStyle="1" w:styleId="a0">
    <w:basedOn w:val="TableNormal"/>
    <w:pPr>
      <w:spacing w:after="0" w:line="240" w:lineRule="auto"/>
    </w:pPr>
    <w:tblPr>
      <w:tblStyleRowBandSize w:val="1"/>
      <w:tblStyleColBandSize w:val="1"/>
      <w:tblCellMar>
        <w:left w:w="108" w:type="dxa"/>
        <w:right w:w="108" w:type="dxa"/>
      </w:tblCellMar>
    </w:tblPr>
    <w:tblStylePr w:type="firstRow">
      <w:pPr>
        <w:spacing w:before="0" w:after="0" w:line="240" w:lineRule="auto"/>
      </w:pPr>
      <w:rPr>
        <w:b/>
        <w:color w:val="FFFFFF"/>
      </w:rPr>
      <w:tblPr/>
      <w:tcPr>
        <w:tcBorders>
          <w:top w:val="single" w:sz="8" w:space="0" w:color="7BA0CD"/>
          <w:left w:val="single" w:sz="8" w:space="0" w:color="7BA0CD"/>
          <w:bottom w:val="single" w:sz="8" w:space="0" w:color="7BA0CD"/>
          <w:right w:val="single" w:sz="8" w:space="0" w:color="7BA0CD"/>
          <w:insideH w:val="nil"/>
          <w:insideV w:val="nil"/>
        </w:tcBorders>
        <w:shd w:val="clear" w:color="auto" w:fill="4F81BD"/>
      </w:tcPr>
    </w:tblStylePr>
    <w:tblStylePr w:type="lastRow">
      <w:pPr>
        <w:spacing w:before="0" w:after="0" w:line="240" w:lineRule="auto"/>
      </w:pPr>
      <w:rPr>
        <w:b/>
      </w:rPr>
      <w:tblPr/>
      <w:tcPr>
        <w:tcBorders>
          <w:top w:val="single" w:sz="6" w:space="0" w:color="7BA0CD"/>
          <w:left w:val="single" w:sz="8" w:space="0" w:color="7BA0CD"/>
          <w:bottom w:val="single" w:sz="8" w:space="0" w:color="7BA0CD"/>
          <w:right w:val="single" w:sz="8" w:space="0" w:color="7BA0CD"/>
          <w:insideH w:val="nil"/>
          <w:insideV w:val="nil"/>
        </w:tcBorders>
      </w:tcPr>
    </w:tblStylePr>
    <w:tblStylePr w:type="firstCol">
      <w:rPr>
        <w:b/>
      </w:rPr>
    </w:tblStylePr>
    <w:tblStylePr w:type="lastCol">
      <w:rPr>
        <w:b/>
      </w:rPr>
    </w:tblStylePr>
    <w:tblStylePr w:type="band1Vert">
      <w:tblPr/>
      <w:tcPr>
        <w:shd w:val="clear" w:color="auto" w:fill="D3DFEE"/>
      </w:tcPr>
    </w:tblStylePr>
    <w:tblStylePr w:type="band1Horz">
      <w:tblPr/>
      <w:tcPr>
        <w:tcBorders>
          <w:insideH w:val="nil"/>
          <w:insideV w:val="nil"/>
        </w:tcBorders>
        <w:shd w:val="clear" w:color="auto" w:fill="D3DFEE"/>
      </w:tcPr>
    </w:tblStylePr>
    <w:tblStylePr w:type="band2Horz">
      <w:tblPr/>
      <w:tcPr>
        <w:tcBorders>
          <w:insideH w:val="nil"/>
          <w:insideV w:val="nil"/>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59543262">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ivG0vOuYMgE8jKPZjiUV+6ExVA/A==">CgMxLjA4AHIhMWgzRlk0SmhiYW1UeDlZYnJHeGpiRHF5VnFjYy04ZmtE</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18</Pages>
  <Words>8135</Words>
  <Characters>46372</Characters>
  <Application>Microsoft Office Word</Application>
  <DocSecurity>0</DocSecurity>
  <Lines>386</Lines>
  <Paragraphs>108</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54399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İlker Calayoğlu</dc:creator>
  <cp:lastModifiedBy>İlker Calayoğlu</cp:lastModifiedBy>
  <cp:revision>2</cp:revision>
  <dcterms:created xsi:type="dcterms:W3CDTF">2025-04-07T06:20:00Z</dcterms:created>
  <dcterms:modified xsi:type="dcterms:W3CDTF">2025-04-07T06:20:00Z</dcterms:modified>
</cp:coreProperties>
</file>